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345652D4" w:rsidR="000F4131" w:rsidRPr="005131C9"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784CB3">
        <w:rPr>
          <w:rFonts w:ascii="Courier New" w:hAnsi="Courier New" w:cs="Courier New"/>
          <w:u w:val="single"/>
          <w:lang w:val="hr-HR"/>
        </w:rPr>
        <w:t>rujna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DA5AD6">
        <w:rPr>
          <w:rFonts w:ascii="Courier New" w:hAnsi="Courier New" w:cs="Courier New"/>
          <w:color w:val="FF0000"/>
          <w:u w:val="single"/>
          <w:lang w:val="hr-HR"/>
        </w:rPr>
        <w:t>3</w:t>
      </w:r>
      <w:r w:rsidR="00817441">
        <w:rPr>
          <w:rFonts w:ascii="Courier New" w:hAnsi="Courier New" w:cs="Courier New"/>
          <w:color w:val="FF0000"/>
          <w:u w:val="single"/>
          <w:lang w:val="hr-HR"/>
        </w:rPr>
        <w:t>2</w:t>
      </w:r>
      <w:r w:rsidR="00DA5AD6">
        <w:rPr>
          <w:rFonts w:ascii="Courier New" w:hAnsi="Courier New" w:cs="Courier New"/>
          <w:color w:val="FF0000"/>
          <w:u w:val="single"/>
          <w:lang w:val="hr-HR"/>
        </w:rPr>
        <w:t>,5</w:t>
      </w:r>
      <w:r w:rsidR="005131C9">
        <w:rPr>
          <w:rFonts w:ascii="Courier New" w:hAnsi="Courier New" w:cs="Courier New"/>
          <w:color w:val="FF0000"/>
          <w:u w:val="single"/>
          <w:lang w:val="hr-HR"/>
        </w:rPr>
        <w:t xml:space="preserve"> </w:t>
      </w:r>
      <w:r w:rsidR="00293A2E">
        <w:rPr>
          <w:rFonts w:ascii="Courier New" w:hAnsi="Courier New" w:cs="Courier New"/>
          <w:color w:val="FF0000"/>
          <w:u w:val="single"/>
          <w:lang w:val="hr-HR"/>
        </w:rPr>
        <w:t>mm</w:t>
      </w:r>
      <w:r w:rsidRPr="00097E5B">
        <w:rPr>
          <w:rFonts w:ascii="Courier New" w:hAnsi="Courier New" w:cs="Courier New"/>
          <w:lang w:val="hr-HR"/>
        </w:rPr>
        <w:t>_                 DAN_</w:t>
      </w:r>
      <w:r w:rsidR="004C06E2" w:rsidRPr="00097E5B">
        <w:rPr>
          <w:rFonts w:ascii="Courier New" w:hAnsi="Courier New" w:cs="Courier New"/>
          <w:u w:val="single"/>
          <w:lang w:val="hr-HR"/>
        </w:rPr>
        <w:t xml:space="preserve"> </w:t>
      </w:r>
      <w:r w:rsidR="00565665">
        <w:rPr>
          <w:rFonts w:ascii="Courier New" w:hAnsi="Courier New" w:cs="Courier New"/>
          <w:u w:val="single"/>
          <w:lang w:val="hr-HR"/>
        </w:rPr>
        <w:t>p</w:t>
      </w:r>
      <w:r w:rsidR="00784CB3">
        <w:rPr>
          <w:rFonts w:ascii="Courier New" w:hAnsi="Courier New" w:cs="Courier New"/>
          <w:u w:val="single"/>
          <w:lang w:val="hr-HR"/>
        </w:rPr>
        <w:t xml:space="preserve">onedjeljak  </w:t>
      </w:r>
      <w:r w:rsidRPr="00097E5B">
        <w:rPr>
          <w:rFonts w:ascii="Courier New" w:hAnsi="Courier New" w:cs="Courier New"/>
          <w:lang w:val="hr-HR"/>
        </w:rPr>
        <w:t xml:space="preserve">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3726"/>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1861"/>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27F"/>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09E2"/>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0E12"/>
    <w:rsid w:val="004545A8"/>
    <w:rsid w:val="0046172E"/>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31C9"/>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65665"/>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4CB3"/>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2E2D"/>
    <w:rsid w:val="00803EEF"/>
    <w:rsid w:val="00806E6D"/>
    <w:rsid w:val="00807B7A"/>
    <w:rsid w:val="008137D3"/>
    <w:rsid w:val="00817441"/>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0D80"/>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015C"/>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1CE6"/>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4FE3"/>
    <w:rsid w:val="00966341"/>
    <w:rsid w:val="009663EE"/>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763"/>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34A"/>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A5AD6"/>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0F93"/>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7137</TotalTime>
  <Pages>29</Pages>
  <Words>6234</Words>
  <Characters>35537</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8</cp:revision>
  <dcterms:created xsi:type="dcterms:W3CDTF">2025-09-08T10:36:00Z</dcterms:created>
  <dcterms:modified xsi:type="dcterms:W3CDTF">2025-10-06T09:35:00Z</dcterms:modified>
</cp:coreProperties>
</file>