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AF5B2" w14:textId="6205CBD4" w:rsidR="00B72926" w:rsidRPr="00C961BD" w:rsidRDefault="00083A42" w:rsidP="000C3F7A">
      <w:pPr>
        <w:spacing w:after="0" w:line="360" w:lineRule="auto"/>
        <w:jc w:val="center"/>
        <w:rPr>
          <w:rFonts w:ascii="Times New Roman" w:hAnsi="Times New Roman" w:cs="Times New Roman"/>
          <w:b/>
          <w:bCs/>
          <w:lang w:val="en-GB"/>
        </w:rPr>
      </w:pPr>
      <w:r w:rsidRPr="00C961BD">
        <w:rPr>
          <w:rFonts w:ascii="Times New Roman" w:hAnsi="Times New Roman" w:cs="Times New Roman"/>
          <w:b/>
          <w:bCs/>
          <w:lang w:val="en-GB"/>
        </w:rPr>
        <w:t xml:space="preserve">PREVENTING CO-OWNERS FROM USING CO-OWNED (COMMON) PROPERTY </w:t>
      </w:r>
    </w:p>
    <w:p w14:paraId="7CAA4C58" w14:textId="77777777" w:rsidR="003C0A87" w:rsidRPr="00C961BD" w:rsidRDefault="003C0A87" w:rsidP="003C0A87">
      <w:pPr>
        <w:spacing w:after="0" w:line="360" w:lineRule="auto"/>
        <w:rPr>
          <w:rFonts w:ascii="Times New Roman" w:hAnsi="Times New Roman" w:cs="Times New Roman"/>
          <w:b/>
          <w:bCs/>
          <w:lang w:val="en-GB"/>
        </w:rPr>
      </w:pPr>
    </w:p>
    <w:p w14:paraId="3E26AC14" w14:textId="0C4BB690" w:rsidR="003C0A87" w:rsidRPr="00C961BD" w:rsidRDefault="003C0A87" w:rsidP="003C0A87">
      <w:pPr>
        <w:spacing w:after="0" w:line="360" w:lineRule="auto"/>
        <w:jc w:val="center"/>
        <w:rPr>
          <w:rFonts w:ascii="Times New Roman" w:hAnsi="Times New Roman" w:cs="Times New Roman"/>
          <w:b/>
          <w:bCs/>
          <w:lang w:val="en-GB"/>
        </w:rPr>
      </w:pPr>
      <w:r w:rsidRPr="00C961BD">
        <w:rPr>
          <w:rFonts w:ascii="Times New Roman" w:hAnsi="Times New Roman" w:cs="Times New Roman"/>
          <w:b/>
          <w:bCs/>
          <w:lang w:val="en-GB"/>
        </w:rPr>
        <w:t>Davorin Pichler</w:t>
      </w:r>
    </w:p>
    <w:p w14:paraId="2EE04EA3" w14:textId="140F1114" w:rsidR="003C0A87" w:rsidRPr="00C961BD" w:rsidRDefault="00083A42"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Associate professor</w:t>
      </w:r>
      <w:r w:rsidR="003C0A87" w:rsidRPr="00C961BD">
        <w:rPr>
          <w:rFonts w:ascii="Times New Roman" w:hAnsi="Times New Roman" w:cs="Times New Roman"/>
          <w:lang w:val="en-GB"/>
        </w:rPr>
        <w:t xml:space="preserve">, </w:t>
      </w:r>
      <w:r w:rsidRPr="00C961BD">
        <w:rPr>
          <w:rFonts w:ascii="Times New Roman" w:hAnsi="Times New Roman" w:cs="Times New Roman"/>
          <w:lang w:val="en-GB"/>
        </w:rPr>
        <w:t xml:space="preserve">Faculty of Law of the J. J. </w:t>
      </w:r>
      <w:r w:rsidR="003C0A87" w:rsidRPr="00C961BD">
        <w:rPr>
          <w:rFonts w:ascii="Times New Roman" w:hAnsi="Times New Roman" w:cs="Times New Roman"/>
          <w:lang w:val="en-GB"/>
        </w:rPr>
        <w:t>Strossmaye</w:t>
      </w:r>
      <w:r w:rsidRPr="00C961BD">
        <w:rPr>
          <w:rFonts w:ascii="Times New Roman" w:hAnsi="Times New Roman" w:cs="Times New Roman"/>
          <w:lang w:val="en-GB"/>
        </w:rPr>
        <w:t>r University</w:t>
      </w:r>
      <w:r w:rsidR="00CD77F9" w:rsidRPr="00C961BD">
        <w:rPr>
          <w:rFonts w:ascii="Times New Roman" w:hAnsi="Times New Roman" w:cs="Times New Roman"/>
          <w:lang w:val="en-GB"/>
        </w:rPr>
        <w:t>,</w:t>
      </w:r>
    </w:p>
    <w:p w14:paraId="154A19D3" w14:textId="527B41CC" w:rsidR="003C0A87" w:rsidRPr="00C961BD" w:rsidRDefault="003C0A87"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Osijek, Republi</w:t>
      </w:r>
      <w:r w:rsidR="00083A42" w:rsidRPr="00C961BD">
        <w:rPr>
          <w:rFonts w:ascii="Times New Roman" w:hAnsi="Times New Roman" w:cs="Times New Roman"/>
          <w:lang w:val="en-GB"/>
        </w:rPr>
        <w:t>c of Croatia</w:t>
      </w:r>
    </w:p>
    <w:p w14:paraId="3C9FFC8F" w14:textId="62E57840" w:rsidR="003C0A87" w:rsidRPr="00C961BD" w:rsidRDefault="003C0A87"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E-mail: dpichler@pravos.hr</w:t>
      </w:r>
    </w:p>
    <w:p w14:paraId="2585D15F" w14:textId="7324A321" w:rsidR="003C0A87" w:rsidRPr="00C961BD" w:rsidRDefault="003C0A87" w:rsidP="003C0A87">
      <w:pPr>
        <w:spacing w:after="0" w:line="360" w:lineRule="auto"/>
        <w:jc w:val="center"/>
        <w:rPr>
          <w:rFonts w:ascii="Times New Roman" w:hAnsi="Times New Roman" w:cs="Times New Roman"/>
          <w:b/>
          <w:bCs/>
          <w:lang w:val="en-GB"/>
        </w:rPr>
      </w:pPr>
      <w:r w:rsidRPr="00C961BD">
        <w:rPr>
          <w:rFonts w:ascii="Times New Roman" w:hAnsi="Times New Roman" w:cs="Times New Roman"/>
          <w:b/>
          <w:bCs/>
          <w:lang w:val="en-GB"/>
        </w:rPr>
        <w:t>Tomislav Nedić</w:t>
      </w:r>
    </w:p>
    <w:p w14:paraId="4193C4E4" w14:textId="20B24994" w:rsidR="00CD77F9" w:rsidRPr="00C961BD" w:rsidRDefault="00CD77F9"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A</w:t>
      </w:r>
      <w:r w:rsidR="00083A42" w:rsidRPr="00C961BD">
        <w:rPr>
          <w:rFonts w:ascii="Times New Roman" w:hAnsi="Times New Roman" w:cs="Times New Roman"/>
          <w:lang w:val="en-GB"/>
        </w:rPr>
        <w:t>s</w:t>
      </w:r>
      <w:r w:rsidRPr="00C961BD">
        <w:rPr>
          <w:rFonts w:ascii="Times New Roman" w:hAnsi="Times New Roman" w:cs="Times New Roman"/>
          <w:lang w:val="en-GB"/>
        </w:rPr>
        <w:t>sist</w:t>
      </w:r>
      <w:r w:rsidR="00083A42" w:rsidRPr="00C961BD">
        <w:rPr>
          <w:rFonts w:ascii="Times New Roman" w:hAnsi="Times New Roman" w:cs="Times New Roman"/>
          <w:lang w:val="en-GB"/>
        </w:rPr>
        <w:t>a</w:t>
      </w:r>
      <w:r w:rsidRPr="00C961BD">
        <w:rPr>
          <w:rFonts w:ascii="Times New Roman" w:hAnsi="Times New Roman" w:cs="Times New Roman"/>
          <w:lang w:val="en-GB"/>
        </w:rPr>
        <w:t>nt</w:t>
      </w:r>
      <w:r w:rsidR="00083A42" w:rsidRPr="00C961BD">
        <w:rPr>
          <w:rFonts w:ascii="Times New Roman" w:hAnsi="Times New Roman" w:cs="Times New Roman"/>
          <w:lang w:val="en-GB"/>
        </w:rPr>
        <w:t>,</w:t>
      </w:r>
      <w:r w:rsidR="00083A42" w:rsidRPr="00C961BD">
        <w:rPr>
          <w:lang w:val="en-GB"/>
        </w:rPr>
        <w:t xml:space="preserve"> </w:t>
      </w:r>
      <w:r w:rsidR="00083A42" w:rsidRPr="00C961BD">
        <w:rPr>
          <w:rFonts w:ascii="Times New Roman" w:hAnsi="Times New Roman" w:cs="Times New Roman"/>
          <w:lang w:val="en-GB"/>
        </w:rPr>
        <w:t>Faculty of Law of the J. J. Strossmayer University</w:t>
      </w:r>
      <w:r w:rsidRPr="00C961BD">
        <w:rPr>
          <w:rFonts w:ascii="Times New Roman" w:hAnsi="Times New Roman" w:cs="Times New Roman"/>
          <w:lang w:val="en-GB"/>
        </w:rPr>
        <w:t>,</w:t>
      </w:r>
    </w:p>
    <w:p w14:paraId="48164E11" w14:textId="0788AFE9" w:rsidR="00CD77F9" w:rsidRPr="00C961BD" w:rsidRDefault="00CD77F9"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Osijek, Re</w:t>
      </w:r>
      <w:r w:rsidR="00083A42" w:rsidRPr="00C961BD">
        <w:rPr>
          <w:rFonts w:ascii="Times New Roman" w:hAnsi="Times New Roman" w:cs="Times New Roman"/>
          <w:lang w:val="en-GB"/>
        </w:rPr>
        <w:t>public of Croatia</w:t>
      </w:r>
    </w:p>
    <w:p w14:paraId="374B64DF" w14:textId="6E77AE89" w:rsidR="00CD77F9" w:rsidRPr="00C961BD" w:rsidRDefault="00CD77F9" w:rsidP="003C0A87">
      <w:pPr>
        <w:spacing w:after="0" w:line="360" w:lineRule="auto"/>
        <w:jc w:val="center"/>
        <w:rPr>
          <w:rFonts w:ascii="Times New Roman" w:hAnsi="Times New Roman" w:cs="Times New Roman"/>
          <w:lang w:val="en-GB"/>
        </w:rPr>
      </w:pPr>
      <w:r w:rsidRPr="00C961BD">
        <w:rPr>
          <w:rFonts w:ascii="Times New Roman" w:hAnsi="Times New Roman" w:cs="Times New Roman"/>
          <w:lang w:val="en-GB"/>
        </w:rPr>
        <w:t>E-mail: nedict@gmail.com</w:t>
      </w:r>
    </w:p>
    <w:p w14:paraId="2D70A6D3" w14:textId="0943A669" w:rsidR="00B72926" w:rsidRPr="00C961BD" w:rsidRDefault="00083A42" w:rsidP="00066E72">
      <w:pPr>
        <w:spacing w:after="0" w:line="360" w:lineRule="auto"/>
        <w:jc w:val="both"/>
        <w:rPr>
          <w:rFonts w:ascii="Times New Roman" w:hAnsi="Times New Roman" w:cs="Times New Roman"/>
          <w:b/>
          <w:bCs/>
          <w:lang w:val="en-GB"/>
        </w:rPr>
      </w:pPr>
      <w:r w:rsidRPr="00C961BD">
        <w:rPr>
          <w:rFonts w:ascii="Times New Roman" w:hAnsi="Times New Roman" w:cs="Times New Roman"/>
          <w:b/>
          <w:bCs/>
          <w:lang w:val="en-GB"/>
        </w:rPr>
        <w:t>Abstract</w:t>
      </w:r>
    </w:p>
    <w:p w14:paraId="55BCBB7A" w14:textId="0DD06434" w:rsidR="00B72926" w:rsidRPr="00C961BD" w:rsidRDefault="00AC6442" w:rsidP="00066E72">
      <w:pPr>
        <w:spacing w:after="0" w:line="360" w:lineRule="auto"/>
        <w:jc w:val="both"/>
        <w:rPr>
          <w:rFonts w:ascii="Times New Roman" w:hAnsi="Times New Roman" w:cs="Times New Roman"/>
          <w:bCs/>
          <w:lang w:val="en-GB"/>
        </w:rPr>
      </w:pPr>
      <w:r w:rsidRPr="00C961BD">
        <w:rPr>
          <w:rFonts w:ascii="Times New Roman" w:hAnsi="Times New Roman" w:cs="Times New Roman"/>
          <w:bCs/>
          <w:lang w:val="en-GB"/>
        </w:rPr>
        <w:t>The possibility</w:t>
      </w:r>
      <w:r w:rsidR="00484798" w:rsidRPr="00C961BD">
        <w:rPr>
          <w:rFonts w:ascii="Times New Roman" w:hAnsi="Times New Roman" w:cs="Times New Roman"/>
          <w:bCs/>
          <w:lang w:val="en-GB"/>
        </w:rPr>
        <w:t xml:space="preserve"> of exercising (co</w:t>
      </w:r>
      <w:r w:rsidR="001F51E3">
        <w:rPr>
          <w:rFonts w:ascii="Times New Roman" w:hAnsi="Times New Roman" w:cs="Times New Roman"/>
          <w:bCs/>
          <w:lang w:val="en-GB"/>
        </w:rPr>
        <w:t>-</w:t>
      </w:r>
      <w:r w:rsidR="00484798" w:rsidRPr="00C961BD">
        <w:rPr>
          <w:rFonts w:ascii="Times New Roman" w:hAnsi="Times New Roman" w:cs="Times New Roman"/>
          <w:bCs/>
          <w:lang w:val="en-GB"/>
        </w:rPr>
        <w:t>)ownership rights by every co-owner</w:t>
      </w:r>
      <w:r w:rsidR="00A42CAF" w:rsidRPr="00C961BD">
        <w:rPr>
          <w:rFonts w:ascii="Times New Roman" w:hAnsi="Times New Roman" w:cs="Times New Roman"/>
          <w:bCs/>
          <w:lang w:val="en-GB"/>
        </w:rPr>
        <w:t xml:space="preserve"> of (a thing) property</w:t>
      </w:r>
      <w:r w:rsidR="00484798" w:rsidRPr="00C961BD">
        <w:rPr>
          <w:rFonts w:ascii="Times New Roman" w:hAnsi="Times New Roman" w:cs="Times New Roman"/>
          <w:bCs/>
          <w:lang w:val="en-GB"/>
        </w:rPr>
        <w:t xml:space="preserve"> is restrained by the fact that each and every co-owner holds the same </w:t>
      </w:r>
      <w:r w:rsidR="00A42CAF" w:rsidRPr="00C961BD">
        <w:rPr>
          <w:rFonts w:ascii="Times New Roman" w:hAnsi="Times New Roman" w:cs="Times New Roman"/>
          <w:bCs/>
          <w:lang w:val="en-GB"/>
        </w:rPr>
        <w:t>rights thereto</w:t>
      </w:r>
      <w:r w:rsidR="00B72926" w:rsidRPr="00C961BD">
        <w:rPr>
          <w:rFonts w:ascii="Times New Roman" w:hAnsi="Times New Roman" w:cs="Times New Roman"/>
          <w:bCs/>
          <w:lang w:val="en-GB"/>
        </w:rPr>
        <w:t xml:space="preserve">. </w:t>
      </w:r>
      <w:r w:rsidR="00A42CAF" w:rsidRPr="00C961BD">
        <w:rPr>
          <w:rFonts w:ascii="Times New Roman" w:hAnsi="Times New Roman" w:cs="Times New Roman"/>
          <w:bCs/>
          <w:lang w:val="en-GB"/>
        </w:rPr>
        <w:t>In real life, it is unlikely that all the co-owners will reach an agreement on the exercise of their ownership rights</w:t>
      </w:r>
      <w:r w:rsidR="00B72926" w:rsidRPr="00C961BD">
        <w:rPr>
          <w:rFonts w:ascii="Times New Roman" w:hAnsi="Times New Roman" w:cs="Times New Roman"/>
          <w:bCs/>
          <w:lang w:val="en-GB"/>
        </w:rPr>
        <w:t xml:space="preserve">. </w:t>
      </w:r>
      <w:r w:rsidR="002474A0" w:rsidRPr="00C961BD">
        <w:rPr>
          <w:rFonts w:ascii="Times New Roman" w:hAnsi="Times New Roman" w:cs="Times New Roman"/>
          <w:bCs/>
          <w:lang w:val="en-GB"/>
        </w:rPr>
        <w:t xml:space="preserve">Therefore, one can say that the ancient Roman maxim </w:t>
      </w:r>
      <w:r w:rsidR="00B72926" w:rsidRPr="00C961BD">
        <w:rPr>
          <w:rFonts w:ascii="Times New Roman" w:hAnsi="Times New Roman" w:cs="Times New Roman"/>
          <w:bCs/>
          <w:i/>
          <w:lang w:val="en-GB"/>
        </w:rPr>
        <w:t>communio est mater rixarium</w:t>
      </w:r>
      <w:r w:rsidR="00B72926" w:rsidRPr="00C961BD">
        <w:rPr>
          <w:rFonts w:ascii="Times New Roman" w:hAnsi="Times New Roman" w:cs="Times New Roman"/>
          <w:bCs/>
          <w:lang w:val="en-GB"/>
        </w:rPr>
        <w:t xml:space="preserve"> (</w:t>
      </w:r>
      <w:r w:rsidR="002474A0" w:rsidRPr="00C961BD">
        <w:rPr>
          <w:rFonts w:ascii="Times New Roman" w:hAnsi="Times New Roman" w:cs="Times New Roman"/>
          <w:bCs/>
          <w:lang w:val="en-GB"/>
        </w:rPr>
        <w:t>co-ownership is the mother of disputes</w:t>
      </w:r>
      <w:r w:rsidR="00B72926" w:rsidRPr="00C961BD">
        <w:rPr>
          <w:rFonts w:ascii="Times New Roman" w:hAnsi="Times New Roman" w:cs="Times New Roman"/>
          <w:bCs/>
          <w:lang w:val="en-GB"/>
        </w:rPr>
        <w:t>)</w:t>
      </w:r>
      <w:r w:rsidR="002474A0" w:rsidRPr="00C961BD">
        <w:rPr>
          <w:rFonts w:ascii="Times New Roman" w:hAnsi="Times New Roman" w:cs="Times New Roman"/>
          <w:bCs/>
          <w:lang w:val="en-GB"/>
        </w:rPr>
        <w:t xml:space="preserve"> has never lost its sense</w:t>
      </w:r>
      <w:r w:rsidR="00B72926" w:rsidRPr="00C961BD">
        <w:rPr>
          <w:rFonts w:ascii="Times New Roman" w:hAnsi="Times New Roman" w:cs="Times New Roman"/>
          <w:bCs/>
          <w:lang w:val="en-GB"/>
        </w:rPr>
        <w:t xml:space="preserve">. </w:t>
      </w:r>
      <w:r w:rsidR="00F432C2" w:rsidRPr="00C961BD">
        <w:rPr>
          <w:rFonts w:ascii="Times New Roman" w:hAnsi="Times New Roman" w:cs="Times New Roman"/>
          <w:bCs/>
          <w:lang w:val="en-GB"/>
        </w:rPr>
        <w:t>Some cases handled by Croatian courts have impelled the Supreme Court of the Republic of Croatia</w:t>
      </w:r>
      <w:r w:rsidR="00D15835" w:rsidRPr="00C961BD">
        <w:rPr>
          <w:rFonts w:ascii="Times New Roman" w:hAnsi="Times New Roman" w:cs="Times New Roman"/>
          <w:bCs/>
          <w:lang w:val="en-GB"/>
        </w:rPr>
        <w:t xml:space="preserve"> or more precisely, its Civil Law Department</w:t>
      </w:r>
      <w:r w:rsidR="00F432C2" w:rsidRPr="00C961BD">
        <w:rPr>
          <w:rFonts w:ascii="Times New Roman" w:hAnsi="Times New Roman" w:cs="Times New Roman"/>
          <w:bCs/>
          <w:lang w:val="en-GB"/>
        </w:rPr>
        <w:t xml:space="preserve"> </w:t>
      </w:r>
      <w:r w:rsidR="00D15835" w:rsidRPr="00C961BD">
        <w:rPr>
          <w:rFonts w:ascii="Times New Roman" w:hAnsi="Times New Roman" w:cs="Times New Roman"/>
          <w:bCs/>
          <w:lang w:val="en-GB"/>
        </w:rPr>
        <w:t xml:space="preserve">to adopt the stance, according to which </w:t>
      </w:r>
      <w:bookmarkStart w:id="0" w:name="_Hlk136843352"/>
      <w:r w:rsidR="001F51E3">
        <w:rPr>
          <w:rFonts w:ascii="Times New Roman" w:hAnsi="Times New Roman" w:cs="Times New Roman"/>
          <w:bCs/>
          <w:lang w:val="en-GB"/>
        </w:rPr>
        <w:t>a</w:t>
      </w:r>
      <w:r w:rsidR="00D15835" w:rsidRPr="00C961BD">
        <w:rPr>
          <w:rFonts w:ascii="Times New Roman" w:hAnsi="Times New Roman" w:cs="Times New Roman"/>
          <w:bCs/>
          <w:lang w:val="en-GB"/>
        </w:rPr>
        <w:t xml:space="preserve"> co-owner whose exercise of his/her ownership rights was not proportional to his/her fractional interests in the property </w:t>
      </w:r>
      <w:bookmarkEnd w:id="0"/>
      <w:r w:rsidR="00D15835" w:rsidRPr="00C961BD">
        <w:rPr>
          <w:rFonts w:ascii="Times New Roman" w:hAnsi="Times New Roman" w:cs="Times New Roman"/>
          <w:bCs/>
          <w:lang w:val="en-GB"/>
        </w:rPr>
        <w:t xml:space="preserve">shall compensate </w:t>
      </w:r>
      <w:r w:rsidR="000C3219">
        <w:rPr>
          <w:rFonts w:ascii="Times New Roman" w:hAnsi="Times New Roman" w:cs="Times New Roman"/>
          <w:bCs/>
          <w:lang w:val="en-GB"/>
        </w:rPr>
        <w:t>the</w:t>
      </w:r>
      <w:r w:rsidR="00D15835" w:rsidRPr="00C961BD">
        <w:rPr>
          <w:rFonts w:ascii="Times New Roman" w:hAnsi="Times New Roman" w:cs="Times New Roman"/>
          <w:bCs/>
          <w:lang w:val="en-GB"/>
        </w:rPr>
        <w:t xml:space="preserve"> co-owner who was not in possession of the property for all the benefits derived from </w:t>
      </w:r>
      <w:r w:rsidR="00A651E0" w:rsidRPr="00C961BD">
        <w:rPr>
          <w:rFonts w:ascii="Times New Roman" w:hAnsi="Times New Roman" w:cs="Times New Roman"/>
          <w:bCs/>
          <w:lang w:val="en-GB"/>
        </w:rPr>
        <w:t>such property use</w:t>
      </w:r>
      <w:r w:rsidR="00340100" w:rsidRPr="00C961BD">
        <w:rPr>
          <w:rFonts w:ascii="Times New Roman" w:hAnsi="Times New Roman" w:cs="Times New Roman"/>
          <w:bCs/>
          <w:lang w:val="en-GB"/>
        </w:rPr>
        <w:t xml:space="preserve">. </w:t>
      </w:r>
      <w:r w:rsidR="00A651E0" w:rsidRPr="00C961BD">
        <w:rPr>
          <w:rFonts w:ascii="Times New Roman" w:hAnsi="Times New Roman" w:cs="Times New Roman"/>
          <w:bCs/>
          <w:lang w:val="en-GB"/>
        </w:rPr>
        <w:t>Th</w:t>
      </w:r>
      <w:r w:rsidR="001F51E3">
        <w:rPr>
          <w:rFonts w:ascii="Times New Roman" w:hAnsi="Times New Roman" w:cs="Times New Roman"/>
          <w:bCs/>
          <w:lang w:val="en-GB"/>
        </w:rPr>
        <w:t>is</w:t>
      </w:r>
      <w:r w:rsidR="00A651E0" w:rsidRPr="00C961BD">
        <w:rPr>
          <w:rFonts w:ascii="Times New Roman" w:hAnsi="Times New Roman" w:cs="Times New Roman"/>
          <w:bCs/>
          <w:lang w:val="en-GB"/>
        </w:rPr>
        <w:t xml:space="preserve"> paper examines the meaning and consequences of the said stance of the Supreme Court for ownership rights-related dispute resolution</w:t>
      </w:r>
      <w:r w:rsidR="00DE78CF" w:rsidRPr="00C961BD">
        <w:rPr>
          <w:rFonts w:ascii="Times New Roman" w:hAnsi="Times New Roman" w:cs="Times New Roman"/>
          <w:bCs/>
          <w:lang w:val="en-GB"/>
        </w:rPr>
        <w:t xml:space="preserve">. </w:t>
      </w:r>
      <w:r w:rsidR="00A651E0" w:rsidRPr="00C961BD">
        <w:rPr>
          <w:rFonts w:ascii="Times New Roman" w:hAnsi="Times New Roman" w:cs="Times New Roman"/>
          <w:bCs/>
          <w:lang w:val="en-GB"/>
        </w:rPr>
        <w:t xml:space="preserve">It also </w:t>
      </w:r>
      <w:bookmarkStart w:id="1" w:name="_Hlk136845514"/>
      <w:r w:rsidR="00A651E0" w:rsidRPr="00C961BD">
        <w:rPr>
          <w:rFonts w:ascii="Times New Roman" w:hAnsi="Times New Roman" w:cs="Times New Roman"/>
          <w:bCs/>
          <w:lang w:val="en-GB"/>
        </w:rPr>
        <w:t xml:space="preserve">investigates the </w:t>
      </w:r>
      <w:r w:rsidR="00DD1B24" w:rsidRPr="00C961BD">
        <w:rPr>
          <w:rFonts w:ascii="Times New Roman" w:hAnsi="Times New Roman" w:cs="Times New Roman"/>
          <w:bCs/>
          <w:lang w:val="en-GB"/>
        </w:rPr>
        <w:t>possibility of judicial review</w:t>
      </w:r>
      <w:r w:rsidR="001F51E3">
        <w:rPr>
          <w:rFonts w:ascii="Times New Roman" w:hAnsi="Times New Roman" w:cs="Times New Roman"/>
          <w:bCs/>
          <w:lang w:val="en-GB"/>
        </w:rPr>
        <w:t xml:space="preserve"> (second appeal)</w:t>
      </w:r>
      <w:r w:rsidR="00DD1B24" w:rsidRPr="00C961BD">
        <w:rPr>
          <w:rFonts w:ascii="Times New Roman" w:hAnsi="Times New Roman" w:cs="Times New Roman"/>
          <w:bCs/>
          <w:lang w:val="en-GB"/>
        </w:rPr>
        <w:t xml:space="preserve">, </w:t>
      </w:r>
      <w:r w:rsidR="001F51E3">
        <w:rPr>
          <w:rFonts w:ascii="Times New Roman" w:hAnsi="Times New Roman" w:cs="Times New Roman"/>
          <w:bCs/>
          <w:lang w:val="en-GB"/>
        </w:rPr>
        <w:t>which depends on the</w:t>
      </w:r>
      <w:r w:rsidR="00DD1B24" w:rsidRPr="00C961BD">
        <w:rPr>
          <w:rFonts w:ascii="Times New Roman" w:hAnsi="Times New Roman" w:cs="Times New Roman"/>
          <w:bCs/>
          <w:lang w:val="en-GB"/>
        </w:rPr>
        <w:t xml:space="preserve"> Supreme Court</w:t>
      </w:r>
      <w:bookmarkEnd w:id="1"/>
      <w:r w:rsidR="000C3219">
        <w:rPr>
          <w:rFonts w:ascii="Times New Roman" w:hAnsi="Times New Roman" w:cs="Times New Roman"/>
          <w:bCs/>
          <w:lang w:val="en-GB"/>
        </w:rPr>
        <w:t>’s permission</w:t>
      </w:r>
      <w:r w:rsidR="00DE78CF" w:rsidRPr="00C961BD">
        <w:rPr>
          <w:rFonts w:ascii="Times New Roman" w:hAnsi="Times New Roman" w:cs="Times New Roman"/>
          <w:bCs/>
          <w:lang w:val="en-GB"/>
        </w:rPr>
        <w:t xml:space="preserve">. </w:t>
      </w:r>
      <w:r w:rsidR="00DD1B24" w:rsidRPr="00C961BD">
        <w:rPr>
          <w:rFonts w:ascii="Times New Roman" w:hAnsi="Times New Roman" w:cs="Times New Roman"/>
          <w:bCs/>
          <w:lang w:val="en-GB"/>
        </w:rPr>
        <w:t xml:space="preserve"> Finally, </w:t>
      </w:r>
      <w:bookmarkStart w:id="2" w:name="_Hlk136845793"/>
      <w:r w:rsidR="00DD1B24" w:rsidRPr="00C961BD">
        <w:rPr>
          <w:rFonts w:ascii="Times New Roman" w:hAnsi="Times New Roman" w:cs="Times New Roman"/>
          <w:bCs/>
          <w:lang w:val="en-GB"/>
        </w:rPr>
        <w:t xml:space="preserve">it sheds light on some pending issues relating to the exercise of ownership rights </w:t>
      </w:r>
      <w:r w:rsidR="00340100" w:rsidRPr="00C961BD">
        <w:rPr>
          <w:rFonts w:ascii="Times New Roman" w:hAnsi="Times New Roman" w:cs="Times New Roman"/>
          <w:bCs/>
          <w:i/>
          <w:lang w:val="en-GB"/>
        </w:rPr>
        <w:t>de lege lata</w:t>
      </w:r>
      <w:r w:rsidR="00340100" w:rsidRPr="00C961BD">
        <w:rPr>
          <w:rFonts w:ascii="Times New Roman" w:hAnsi="Times New Roman" w:cs="Times New Roman"/>
          <w:bCs/>
          <w:lang w:val="en-GB"/>
        </w:rPr>
        <w:t xml:space="preserve"> </w:t>
      </w:r>
      <w:r w:rsidR="00DD1B24" w:rsidRPr="00C961BD">
        <w:rPr>
          <w:rFonts w:ascii="Times New Roman" w:hAnsi="Times New Roman" w:cs="Times New Roman"/>
          <w:bCs/>
          <w:lang w:val="en-GB"/>
        </w:rPr>
        <w:t xml:space="preserve">as well as on possible legal solutions and the potential need for intervention by the legislator </w:t>
      </w:r>
      <w:r w:rsidR="00340100" w:rsidRPr="00C961BD">
        <w:rPr>
          <w:rFonts w:ascii="Times New Roman" w:hAnsi="Times New Roman" w:cs="Times New Roman"/>
          <w:bCs/>
          <w:i/>
          <w:lang w:val="en-GB"/>
        </w:rPr>
        <w:t>de lege ferenda</w:t>
      </w:r>
      <w:bookmarkEnd w:id="2"/>
      <w:r w:rsidR="00340100" w:rsidRPr="00C961BD">
        <w:rPr>
          <w:rFonts w:ascii="Times New Roman" w:hAnsi="Times New Roman" w:cs="Times New Roman"/>
          <w:bCs/>
          <w:lang w:val="en-GB"/>
        </w:rPr>
        <w:t>.</w:t>
      </w:r>
      <w:r w:rsidR="00B72926" w:rsidRPr="00C961BD">
        <w:rPr>
          <w:rFonts w:ascii="Times New Roman" w:hAnsi="Times New Roman" w:cs="Times New Roman"/>
          <w:bCs/>
          <w:lang w:val="en-GB"/>
        </w:rPr>
        <w:t xml:space="preserve"> </w:t>
      </w:r>
    </w:p>
    <w:p w14:paraId="44711475" w14:textId="77777777" w:rsidR="00B72926" w:rsidRPr="00C961BD" w:rsidRDefault="00B72926" w:rsidP="000C3F7A">
      <w:pPr>
        <w:spacing w:after="0" w:line="360" w:lineRule="auto"/>
        <w:jc w:val="both"/>
        <w:rPr>
          <w:rFonts w:ascii="Times New Roman" w:hAnsi="Times New Roman" w:cs="Times New Roman"/>
          <w:i/>
          <w:lang w:val="en-GB"/>
        </w:rPr>
      </w:pPr>
    </w:p>
    <w:p w14:paraId="412A9DE0" w14:textId="0C76945C" w:rsidR="000C3F7A" w:rsidRPr="00C961BD" w:rsidRDefault="00B72926" w:rsidP="00066E72">
      <w:pPr>
        <w:spacing w:after="0" w:line="360" w:lineRule="auto"/>
        <w:jc w:val="both"/>
        <w:rPr>
          <w:rFonts w:ascii="Times New Roman" w:hAnsi="Times New Roman" w:cs="Times New Roman"/>
          <w:i/>
          <w:lang w:val="en-GB"/>
        </w:rPr>
      </w:pPr>
      <w:r w:rsidRPr="00C961BD">
        <w:rPr>
          <w:rFonts w:ascii="Times New Roman" w:hAnsi="Times New Roman" w:cs="Times New Roman"/>
          <w:b/>
          <w:bCs/>
          <w:i/>
          <w:lang w:val="en-GB"/>
        </w:rPr>
        <w:t>K</w:t>
      </w:r>
      <w:r w:rsidR="00DD1B24" w:rsidRPr="00C961BD">
        <w:rPr>
          <w:rFonts w:ascii="Times New Roman" w:hAnsi="Times New Roman" w:cs="Times New Roman"/>
          <w:b/>
          <w:bCs/>
          <w:i/>
          <w:lang w:val="en-GB"/>
        </w:rPr>
        <w:t>eywords</w:t>
      </w:r>
      <w:r w:rsidRPr="00C961BD">
        <w:rPr>
          <w:rFonts w:ascii="Times New Roman" w:hAnsi="Times New Roman" w:cs="Times New Roman"/>
          <w:b/>
          <w:bCs/>
          <w:i/>
          <w:lang w:val="en-GB"/>
        </w:rPr>
        <w:t>:</w:t>
      </w:r>
      <w:r w:rsidRPr="00C961BD">
        <w:rPr>
          <w:rFonts w:ascii="Times New Roman" w:hAnsi="Times New Roman" w:cs="Times New Roman"/>
          <w:i/>
          <w:lang w:val="en-GB"/>
        </w:rPr>
        <w:t xml:space="preserve"> </w:t>
      </w:r>
      <w:r w:rsidR="00DD1B24" w:rsidRPr="00C961BD">
        <w:rPr>
          <w:rFonts w:ascii="Times New Roman" w:hAnsi="Times New Roman" w:cs="Times New Roman"/>
          <w:i/>
          <w:lang w:val="en-GB"/>
        </w:rPr>
        <w:t>co-ownership</w:t>
      </w:r>
      <w:r w:rsidR="00066E72" w:rsidRPr="00C961BD">
        <w:rPr>
          <w:rFonts w:ascii="Times New Roman" w:hAnsi="Times New Roman" w:cs="Times New Roman"/>
          <w:i/>
          <w:lang w:val="en-GB"/>
        </w:rPr>
        <w:t>;</w:t>
      </w:r>
      <w:r w:rsidRPr="00C961BD">
        <w:rPr>
          <w:rFonts w:ascii="Times New Roman" w:hAnsi="Times New Roman" w:cs="Times New Roman"/>
          <w:i/>
          <w:lang w:val="en-GB"/>
        </w:rPr>
        <w:t xml:space="preserve"> </w:t>
      </w:r>
      <w:r w:rsidR="00DD1B24" w:rsidRPr="00C961BD">
        <w:rPr>
          <w:rFonts w:ascii="Times New Roman" w:hAnsi="Times New Roman" w:cs="Times New Roman"/>
          <w:i/>
          <w:lang w:val="en-GB"/>
        </w:rPr>
        <w:t>real property</w:t>
      </w:r>
      <w:r w:rsidR="00066E72" w:rsidRPr="00C961BD">
        <w:rPr>
          <w:rFonts w:ascii="Times New Roman" w:hAnsi="Times New Roman" w:cs="Times New Roman"/>
          <w:i/>
          <w:lang w:val="en-GB"/>
        </w:rPr>
        <w:t>;</w:t>
      </w:r>
      <w:r w:rsidRPr="00C961BD">
        <w:rPr>
          <w:rFonts w:ascii="Times New Roman" w:hAnsi="Times New Roman" w:cs="Times New Roman"/>
          <w:i/>
          <w:lang w:val="en-GB"/>
        </w:rPr>
        <w:t xml:space="preserve"> </w:t>
      </w:r>
      <w:r w:rsidR="00DD1B24" w:rsidRPr="00C961BD">
        <w:rPr>
          <w:rFonts w:ascii="Times New Roman" w:hAnsi="Times New Roman" w:cs="Times New Roman"/>
          <w:i/>
          <w:lang w:val="en-GB"/>
        </w:rPr>
        <w:t>thing</w:t>
      </w:r>
      <w:r w:rsidR="00066E72" w:rsidRPr="00C961BD">
        <w:rPr>
          <w:rFonts w:ascii="Times New Roman" w:hAnsi="Times New Roman" w:cs="Times New Roman"/>
          <w:i/>
          <w:lang w:val="en-GB"/>
        </w:rPr>
        <w:t>;</w:t>
      </w:r>
      <w:r w:rsidRPr="00C961BD">
        <w:rPr>
          <w:rFonts w:ascii="Times New Roman" w:hAnsi="Times New Roman" w:cs="Times New Roman"/>
          <w:i/>
          <w:lang w:val="en-GB"/>
        </w:rPr>
        <w:t xml:space="preserve"> pos</w:t>
      </w:r>
      <w:r w:rsidR="00DD1B24" w:rsidRPr="00C961BD">
        <w:rPr>
          <w:rFonts w:ascii="Times New Roman" w:hAnsi="Times New Roman" w:cs="Times New Roman"/>
          <w:i/>
          <w:lang w:val="en-GB"/>
        </w:rPr>
        <w:t>session</w:t>
      </w:r>
      <w:r w:rsidR="00066E72" w:rsidRPr="00C961BD">
        <w:rPr>
          <w:rFonts w:ascii="Times New Roman" w:hAnsi="Times New Roman" w:cs="Times New Roman"/>
          <w:i/>
          <w:lang w:val="en-GB"/>
        </w:rPr>
        <w:t>;</w:t>
      </w:r>
      <w:r w:rsidRPr="00C961BD">
        <w:rPr>
          <w:rFonts w:ascii="Times New Roman" w:hAnsi="Times New Roman" w:cs="Times New Roman"/>
          <w:i/>
          <w:lang w:val="en-GB"/>
        </w:rPr>
        <w:t xml:space="preserve"> revi</w:t>
      </w:r>
      <w:r w:rsidR="00DD1B24" w:rsidRPr="00C961BD">
        <w:rPr>
          <w:rFonts w:ascii="Times New Roman" w:hAnsi="Times New Roman" w:cs="Times New Roman"/>
          <w:i/>
          <w:lang w:val="en-GB"/>
        </w:rPr>
        <w:t>ew</w:t>
      </w:r>
    </w:p>
    <w:p w14:paraId="43E8CF41" w14:textId="5B9D35FD" w:rsidR="001E2BCB" w:rsidRPr="00C961BD" w:rsidRDefault="001E2BCB" w:rsidP="00DE78CF">
      <w:pPr>
        <w:spacing w:after="0" w:line="360" w:lineRule="auto"/>
        <w:ind w:firstLine="709"/>
        <w:jc w:val="both"/>
        <w:rPr>
          <w:rFonts w:ascii="Times New Roman" w:hAnsi="Times New Roman" w:cs="Times New Roman"/>
          <w:i/>
          <w:lang w:val="en-GB"/>
        </w:rPr>
      </w:pPr>
    </w:p>
    <w:p w14:paraId="392D24F8" w14:textId="10123937" w:rsidR="001E2BCB" w:rsidRPr="00C961BD" w:rsidRDefault="001E2BCB" w:rsidP="00DE78CF">
      <w:pPr>
        <w:spacing w:after="0" w:line="360" w:lineRule="auto"/>
        <w:ind w:firstLine="709"/>
        <w:jc w:val="both"/>
        <w:rPr>
          <w:rFonts w:ascii="Times New Roman" w:hAnsi="Times New Roman" w:cs="Times New Roman"/>
          <w:i/>
          <w:lang w:val="en-GB"/>
        </w:rPr>
      </w:pPr>
    </w:p>
    <w:p w14:paraId="2629AF00" w14:textId="6BDB16FF" w:rsidR="004E5967" w:rsidRPr="00C961BD" w:rsidRDefault="004E5967" w:rsidP="00DE78CF">
      <w:pPr>
        <w:spacing w:after="0" w:line="360" w:lineRule="auto"/>
        <w:ind w:firstLine="709"/>
        <w:jc w:val="both"/>
        <w:rPr>
          <w:rFonts w:ascii="Times New Roman" w:hAnsi="Times New Roman" w:cs="Times New Roman"/>
          <w:i/>
          <w:lang w:val="en-GB"/>
        </w:rPr>
      </w:pPr>
    </w:p>
    <w:p w14:paraId="407B4561" w14:textId="77777777" w:rsidR="00066E72" w:rsidRPr="00C961BD" w:rsidRDefault="00066E72" w:rsidP="00DE78CF">
      <w:pPr>
        <w:spacing w:after="0" w:line="360" w:lineRule="auto"/>
        <w:ind w:firstLine="709"/>
        <w:jc w:val="both"/>
        <w:rPr>
          <w:rFonts w:ascii="Times New Roman" w:hAnsi="Times New Roman" w:cs="Times New Roman"/>
          <w:i/>
          <w:lang w:val="en-GB"/>
        </w:rPr>
      </w:pPr>
    </w:p>
    <w:p w14:paraId="22B111F7" w14:textId="77777777" w:rsidR="00066E72" w:rsidRPr="00C961BD" w:rsidRDefault="00066E72" w:rsidP="00DE78CF">
      <w:pPr>
        <w:spacing w:after="0" w:line="360" w:lineRule="auto"/>
        <w:ind w:firstLine="709"/>
        <w:jc w:val="both"/>
        <w:rPr>
          <w:rFonts w:ascii="Times New Roman" w:hAnsi="Times New Roman" w:cs="Times New Roman"/>
          <w:i/>
          <w:lang w:val="en-GB"/>
        </w:rPr>
      </w:pPr>
    </w:p>
    <w:p w14:paraId="05DB54A9" w14:textId="77777777" w:rsidR="00066E72" w:rsidRPr="00C961BD" w:rsidRDefault="00066E72" w:rsidP="00DE78CF">
      <w:pPr>
        <w:spacing w:after="0" w:line="360" w:lineRule="auto"/>
        <w:ind w:firstLine="709"/>
        <w:jc w:val="both"/>
        <w:rPr>
          <w:rFonts w:ascii="Times New Roman" w:hAnsi="Times New Roman" w:cs="Times New Roman"/>
          <w:i/>
          <w:lang w:val="en-GB"/>
        </w:rPr>
      </w:pPr>
    </w:p>
    <w:p w14:paraId="4F0E155E" w14:textId="77777777" w:rsidR="004E5967" w:rsidRPr="00C961BD" w:rsidRDefault="004E5967" w:rsidP="00DE78CF">
      <w:pPr>
        <w:spacing w:after="0" w:line="360" w:lineRule="auto"/>
        <w:ind w:firstLine="709"/>
        <w:jc w:val="both"/>
        <w:rPr>
          <w:rFonts w:ascii="Times New Roman" w:hAnsi="Times New Roman" w:cs="Times New Roman"/>
          <w:i/>
          <w:lang w:val="en-GB"/>
        </w:rPr>
      </w:pPr>
    </w:p>
    <w:p w14:paraId="23B36253" w14:textId="62643A6F" w:rsidR="00905841" w:rsidRPr="00C961BD" w:rsidRDefault="00180921" w:rsidP="00180921">
      <w:pPr>
        <w:pStyle w:val="Heading3"/>
        <w:spacing w:before="0" w:line="360" w:lineRule="auto"/>
        <w:jc w:val="both"/>
        <w:rPr>
          <w:rFonts w:cs="Times New Roman"/>
          <w:b/>
          <w:iCs/>
          <w:sz w:val="22"/>
          <w:szCs w:val="22"/>
          <w:lang w:val="en-GB"/>
        </w:rPr>
      </w:pPr>
      <w:r w:rsidRPr="00C961BD">
        <w:rPr>
          <w:rFonts w:cs="Times New Roman"/>
          <w:b/>
          <w:iCs/>
          <w:sz w:val="22"/>
          <w:szCs w:val="22"/>
          <w:lang w:val="en-GB"/>
        </w:rPr>
        <w:lastRenderedPageBreak/>
        <w:t xml:space="preserve">1. </w:t>
      </w:r>
      <w:r w:rsidR="002564C4" w:rsidRPr="00C961BD">
        <w:rPr>
          <w:rFonts w:cs="Times New Roman"/>
          <w:b/>
          <w:iCs/>
          <w:sz w:val="22"/>
          <w:szCs w:val="22"/>
          <w:lang w:val="en-GB"/>
        </w:rPr>
        <w:t>INTRODUCTION</w:t>
      </w:r>
    </w:p>
    <w:p w14:paraId="50934D8B" w14:textId="77777777" w:rsidR="005702B8" w:rsidRPr="00C961BD" w:rsidRDefault="005702B8" w:rsidP="005702B8">
      <w:pPr>
        <w:spacing w:after="0" w:line="257" w:lineRule="auto"/>
        <w:rPr>
          <w:lang w:val="en-GB"/>
        </w:rPr>
      </w:pPr>
    </w:p>
    <w:p w14:paraId="33CFD468" w14:textId="077D99BA" w:rsidR="00905841" w:rsidRPr="00C961BD" w:rsidRDefault="00A86CD6" w:rsidP="006978A4">
      <w:pPr>
        <w:spacing w:after="0" w:line="360" w:lineRule="auto"/>
        <w:jc w:val="both"/>
        <w:rPr>
          <w:rFonts w:ascii="Times New Roman" w:hAnsi="Times New Roman" w:cs="Times New Roman"/>
          <w:lang w:val="en-GB"/>
        </w:rPr>
      </w:pPr>
      <w:r w:rsidRPr="00C961BD">
        <w:rPr>
          <w:rFonts w:ascii="Times New Roman" w:hAnsi="Times New Roman" w:cs="Times New Roman"/>
          <w:lang w:val="en-GB"/>
        </w:rPr>
        <w:t>The right to property is inseparable in the light of ownership rights</w:t>
      </w:r>
      <w:r w:rsidR="00905841" w:rsidRPr="00C961BD">
        <w:rPr>
          <w:rFonts w:ascii="Times New Roman" w:hAnsi="Times New Roman" w:cs="Times New Roman"/>
          <w:lang w:val="en-GB"/>
        </w:rPr>
        <w:t xml:space="preserve"> (</w:t>
      </w:r>
      <w:bookmarkStart w:id="3" w:name="_Hlk136850510"/>
      <w:r w:rsidRPr="00C961BD">
        <w:rPr>
          <w:rFonts w:ascii="Times New Roman" w:hAnsi="Times New Roman" w:cs="Times New Roman"/>
          <w:lang w:val="en-GB"/>
        </w:rPr>
        <w:t xml:space="preserve">every co-owner holds all the typical </w:t>
      </w:r>
      <w:r w:rsidR="001F3E85" w:rsidRPr="00C961BD">
        <w:rPr>
          <w:rFonts w:ascii="Times New Roman" w:hAnsi="Times New Roman" w:cs="Times New Roman"/>
          <w:lang w:val="en-GB"/>
        </w:rPr>
        <w:t>property</w:t>
      </w:r>
      <w:r w:rsidRPr="00C961BD">
        <w:rPr>
          <w:rFonts w:ascii="Times New Roman" w:hAnsi="Times New Roman" w:cs="Times New Roman"/>
          <w:lang w:val="en-GB"/>
        </w:rPr>
        <w:t xml:space="preserve"> rights: possession, use, enjoyment and disposal</w:t>
      </w:r>
      <w:bookmarkEnd w:id="3"/>
      <w:r w:rsidR="00031278" w:rsidRPr="00C961BD">
        <w:rPr>
          <w:rFonts w:ascii="Times New Roman" w:hAnsi="Times New Roman" w:cs="Times New Roman"/>
          <w:lang w:val="en-GB"/>
        </w:rPr>
        <w:t>).</w:t>
      </w:r>
      <w:r w:rsidR="009B7574" w:rsidRPr="00C961BD">
        <w:rPr>
          <w:rFonts w:ascii="Times New Roman" w:hAnsi="Times New Roman" w:cs="Times New Roman"/>
          <w:lang w:val="en-GB"/>
        </w:rPr>
        <w:t xml:space="preserve"> </w:t>
      </w:r>
      <w:r w:rsidRPr="00C961BD">
        <w:rPr>
          <w:rFonts w:ascii="Times New Roman" w:hAnsi="Times New Roman" w:cs="Times New Roman"/>
          <w:lang w:val="en-GB"/>
        </w:rPr>
        <w:t xml:space="preserve">Hence, co-ownership is divided into shares, i.e. each co-owner is entitled to </w:t>
      </w:r>
      <w:r w:rsidR="00143E52" w:rsidRPr="00C961BD">
        <w:rPr>
          <w:rFonts w:ascii="Times New Roman" w:hAnsi="Times New Roman" w:cs="Times New Roman"/>
          <w:lang w:val="en-GB"/>
        </w:rPr>
        <w:t>his/her</w:t>
      </w:r>
      <w:r w:rsidRPr="00C961BD">
        <w:rPr>
          <w:rFonts w:ascii="Times New Roman" w:hAnsi="Times New Roman" w:cs="Times New Roman"/>
          <w:lang w:val="en-GB"/>
        </w:rPr>
        <w:t xml:space="preserve"> aliquot </w:t>
      </w:r>
      <w:r w:rsidR="00143E52" w:rsidRPr="00C961BD">
        <w:rPr>
          <w:rFonts w:ascii="Times New Roman" w:hAnsi="Times New Roman" w:cs="Times New Roman"/>
          <w:lang w:val="en-GB"/>
        </w:rPr>
        <w:t>share</w:t>
      </w:r>
      <w:r w:rsidRPr="00C961BD">
        <w:rPr>
          <w:rFonts w:ascii="Times New Roman" w:hAnsi="Times New Roman" w:cs="Times New Roman"/>
          <w:lang w:val="en-GB"/>
        </w:rPr>
        <w:t xml:space="preserve"> </w:t>
      </w:r>
      <w:r w:rsidR="00143E52" w:rsidRPr="00C961BD">
        <w:rPr>
          <w:rFonts w:ascii="Times New Roman" w:hAnsi="Times New Roman" w:cs="Times New Roman"/>
          <w:lang w:val="en-GB"/>
        </w:rPr>
        <w:t>in the property</w:t>
      </w:r>
      <w:r w:rsidR="006D384B" w:rsidRPr="00C961BD">
        <w:rPr>
          <w:rFonts w:ascii="Times New Roman" w:hAnsi="Times New Roman" w:cs="Times New Roman"/>
          <w:lang w:val="en-GB"/>
        </w:rPr>
        <w:t>.</w:t>
      </w:r>
      <w:r w:rsidR="006D384B" w:rsidRPr="00C961BD">
        <w:rPr>
          <w:rStyle w:val="FootnoteReference"/>
          <w:rFonts w:ascii="Times New Roman" w:hAnsi="Times New Roman" w:cs="Times New Roman"/>
          <w:lang w:val="en-GB"/>
        </w:rPr>
        <w:footnoteReference w:id="1"/>
      </w:r>
      <w:r w:rsidR="002134D0" w:rsidRPr="00C961BD">
        <w:rPr>
          <w:rFonts w:ascii="Times New Roman" w:hAnsi="Times New Roman" w:cs="Times New Roman"/>
          <w:lang w:val="en-GB"/>
        </w:rPr>
        <w:t xml:space="preserve"> </w:t>
      </w:r>
      <w:r w:rsidR="00C819BB" w:rsidRPr="00C961BD">
        <w:rPr>
          <w:rFonts w:ascii="Times New Roman" w:hAnsi="Times New Roman" w:cs="Times New Roman"/>
          <w:lang w:val="en-GB"/>
        </w:rPr>
        <w:t xml:space="preserve">The scope of the research in this paper refers to cases instituted before Croatian courts, in which </w:t>
      </w:r>
      <w:r w:rsidR="00C819BB" w:rsidRPr="00C961BD">
        <w:rPr>
          <w:rFonts w:ascii="Times New Roman" w:hAnsi="Times New Roman" w:cs="Times New Roman"/>
          <w:bCs/>
          <w:lang w:val="en-GB"/>
        </w:rPr>
        <w:t>one co-owner exercises his/her ownership rights to the extent disproportional to his/her fractional interests in the property</w:t>
      </w:r>
      <w:r w:rsidR="009B7574" w:rsidRPr="00C961BD">
        <w:rPr>
          <w:rFonts w:ascii="Times New Roman" w:hAnsi="Times New Roman" w:cs="Times New Roman"/>
          <w:lang w:val="en-GB"/>
        </w:rPr>
        <w:t>.</w:t>
      </w:r>
      <w:r w:rsidR="00D528E3" w:rsidRPr="00C961BD">
        <w:rPr>
          <w:rFonts w:ascii="Times New Roman" w:hAnsi="Times New Roman" w:cs="Times New Roman"/>
          <w:lang w:val="en-GB"/>
        </w:rPr>
        <w:t xml:space="preserve"> </w:t>
      </w:r>
      <w:r w:rsidR="00C819BB" w:rsidRPr="00C961BD">
        <w:rPr>
          <w:rFonts w:ascii="Times New Roman" w:hAnsi="Times New Roman" w:cs="Times New Roman"/>
          <w:lang w:val="en-GB"/>
        </w:rPr>
        <w:t xml:space="preserve">A special emphasis is placed on judicial proceedings initiated due to damaged relationships </w:t>
      </w:r>
      <w:r w:rsidR="001F3E85" w:rsidRPr="00C961BD">
        <w:rPr>
          <w:rFonts w:ascii="Times New Roman" w:hAnsi="Times New Roman" w:cs="Times New Roman"/>
          <w:lang w:val="en-GB"/>
        </w:rPr>
        <w:t xml:space="preserve">between co-owners </w:t>
      </w:r>
      <w:r w:rsidR="00C819BB" w:rsidRPr="00C961BD">
        <w:rPr>
          <w:rFonts w:ascii="Times New Roman" w:hAnsi="Times New Roman" w:cs="Times New Roman"/>
          <w:lang w:val="en-GB"/>
        </w:rPr>
        <w:t xml:space="preserve">in regard to </w:t>
      </w:r>
      <w:r w:rsidR="001F3E85" w:rsidRPr="00C961BD">
        <w:rPr>
          <w:rFonts w:ascii="Times New Roman" w:hAnsi="Times New Roman" w:cs="Times New Roman"/>
          <w:lang w:val="en-GB"/>
        </w:rPr>
        <w:t>their common</w:t>
      </w:r>
      <w:r w:rsidR="00C819BB" w:rsidRPr="00C961BD">
        <w:rPr>
          <w:rFonts w:ascii="Times New Roman" w:hAnsi="Times New Roman" w:cs="Times New Roman"/>
          <w:lang w:val="en-GB"/>
        </w:rPr>
        <w:t xml:space="preserve"> real property</w:t>
      </w:r>
      <w:r w:rsidR="00825E6E" w:rsidRPr="00C961BD">
        <w:rPr>
          <w:rFonts w:ascii="Times New Roman" w:hAnsi="Times New Roman" w:cs="Times New Roman"/>
          <w:lang w:val="en-GB"/>
        </w:rPr>
        <w:t>.</w:t>
      </w:r>
      <w:r w:rsidR="00090BE9" w:rsidRPr="00C961BD">
        <w:rPr>
          <w:rStyle w:val="FootnoteReference"/>
          <w:rFonts w:ascii="Times New Roman" w:hAnsi="Times New Roman" w:cs="Times New Roman"/>
          <w:lang w:val="en-GB"/>
        </w:rPr>
        <w:footnoteReference w:id="2"/>
      </w:r>
      <w:r w:rsidR="001F3E85" w:rsidRPr="00C961BD">
        <w:rPr>
          <w:rFonts w:ascii="Times New Roman" w:hAnsi="Times New Roman" w:cs="Times New Roman"/>
          <w:lang w:val="en-GB"/>
        </w:rPr>
        <w:t xml:space="preserve"> Such cases have urged the Civil Law Department of the Croatian Supreme Court to </w:t>
      </w:r>
      <w:r w:rsidR="0003232A" w:rsidRPr="00C961BD">
        <w:rPr>
          <w:rFonts w:ascii="Times New Roman" w:hAnsi="Times New Roman" w:cs="Times New Roman"/>
          <w:lang w:val="en-GB"/>
        </w:rPr>
        <w:t xml:space="preserve">imperatively </w:t>
      </w:r>
      <w:r w:rsidR="001F3E85" w:rsidRPr="00C961BD">
        <w:rPr>
          <w:rFonts w:ascii="Times New Roman" w:hAnsi="Times New Roman" w:cs="Times New Roman"/>
          <w:lang w:val="en-GB"/>
        </w:rPr>
        <w:t>instruct the lower courts to establish the legal status of</w:t>
      </w:r>
      <w:r w:rsidR="0003232A" w:rsidRPr="00C961BD">
        <w:rPr>
          <w:rFonts w:ascii="Times New Roman" w:hAnsi="Times New Roman" w:cs="Times New Roman"/>
          <w:lang w:val="en-GB"/>
        </w:rPr>
        <w:t xml:space="preserve"> co-owners when deciding on claims in which dispossession is not necessarily sought, but the respective co-owner has expressed his/her will to possess the property in an appropriate way</w:t>
      </w:r>
      <w:r w:rsidR="009B7574" w:rsidRPr="00C961BD">
        <w:rPr>
          <w:rFonts w:ascii="Times New Roman" w:hAnsi="Times New Roman" w:cs="Times New Roman"/>
          <w:lang w:val="en-GB"/>
        </w:rPr>
        <w:t xml:space="preserve">. </w:t>
      </w:r>
      <w:r w:rsidR="0003232A" w:rsidRPr="00C961BD">
        <w:rPr>
          <w:rFonts w:ascii="Times New Roman" w:hAnsi="Times New Roman" w:cs="Times New Roman"/>
          <w:lang w:val="en-GB"/>
        </w:rPr>
        <w:t xml:space="preserve">The paper analyses the case-law concerned and challenges </w:t>
      </w:r>
      <w:r w:rsidR="008671D0" w:rsidRPr="00C961BD">
        <w:rPr>
          <w:rFonts w:ascii="Times New Roman" w:hAnsi="Times New Roman" w:cs="Times New Roman"/>
          <w:lang w:val="en-GB"/>
        </w:rPr>
        <w:t>the stated views from the perspective of legal science</w:t>
      </w:r>
      <w:r w:rsidR="003822A7" w:rsidRPr="00C961BD">
        <w:rPr>
          <w:rFonts w:ascii="Times New Roman" w:hAnsi="Times New Roman" w:cs="Times New Roman"/>
          <w:lang w:val="en-GB"/>
        </w:rPr>
        <w:t xml:space="preserve">. </w:t>
      </w:r>
      <w:r w:rsidR="008671D0" w:rsidRPr="00C961BD">
        <w:rPr>
          <w:rFonts w:ascii="Times New Roman" w:hAnsi="Times New Roman" w:cs="Times New Roman"/>
          <w:lang w:val="en-GB"/>
        </w:rPr>
        <w:t>It also explores</w:t>
      </w:r>
      <w:r w:rsidR="008671D0" w:rsidRPr="00C961BD">
        <w:rPr>
          <w:rFonts w:ascii="Times New Roman" w:hAnsi="Times New Roman" w:cs="Times New Roman"/>
          <w:bCs/>
          <w:lang w:val="en-GB"/>
        </w:rPr>
        <w:t xml:space="preserve"> the meaning and consequences of the said stance of the Supreme Court for ownership rights-related dispute resolution</w:t>
      </w:r>
      <w:r w:rsidR="008671D0" w:rsidRPr="00C961BD">
        <w:rPr>
          <w:rFonts w:ascii="Times New Roman" w:hAnsi="Times New Roman" w:cs="Times New Roman"/>
          <w:lang w:val="en-GB"/>
        </w:rPr>
        <w:t xml:space="preserve"> as well as</w:t>
      </w:r>
      <w:r w:rsidR="008671D0" w:rsidRPr="00C961BD">
        <w:rPr>
          <w:rFonts w:ascii="Times New Roman" w:hAnsi="Times New Roman" w:cs="Times New Roman"/>
          <w:bCs/>
          <w:lang w:val="en-GB"/>
        </w:rPr>
        <w:t xml:space="preserve"> the possibility of judicial review</w:t>
      </w:r>
      <w:r w:rsidR="000C3219">
        <w:rPr>
          <w:rFonts w:ascii="Times New Roman" w:hAnsi="Times New Roman" w:cs="Times New Roman"/>
          <w:bCs/>
          <w:lang w:val="en-GB"/>
        </w:rPr>
        <w:t xml:space="preserve"> (second appeal), which might be</w:t>
      </w:r>
      <w:r w:rsidR="008671D0" w:rsidRPr="00C961BD">
        <w:rPr>
          <w:rFonts w:ascii="Times New Roman" w:hAnsi="Times New Roman" w:cs="Times New Roman"/>
          <w:bCs/>
          <w:lang w:val="en-GB"/>
        </w:rPr>
        <w:t xml:space="preserve"> permitted </w:t>
      </w:r>
      <w:r w:rsidR="00B0720A" w:rsidRPr="00C961BD">
        <w:rPr>
          <w:rFonts w:ascii="Times New Roman" w:hAnsi="Times New Roman" w:cs="Times New Roman"/>
          <w:bCs/>
          <w:lang w:val="en-GB"/>
        </w:rPr>
        <w:t xml:space="preserve">by </w:t>
      </w:r>
      <w:r w:rsidR="008671D0" w:rsidRPr="00C961BD">
        <w:rPr>
          <w:rFonts w:ascii="Times New Roman" w:hAnsi="Times New Roman" w:cs="Times New Roman"/>
          <w:bCs/>
          <w:lang w:val="en-GB"/>
        </w:rPr>
        <w:t>the Supreme Court</w:t>
      </w:r>
      <w:r w:rsidR="009170B3" w:rsidRPr="00C961BD">
        <w:rPr>
          <w:rStyle w:val="FootnoteReference"/>
          <w:rFonts w:ascii="Times New Roman" w:hAnsi="Times New Roman" w:cs="Times New Roman"/>
          <w:lang w:val="en-GB"/>
        </w:rPr>
        <w:footnoteReference w:id="3"/>
      </w:r>
      <w:r w:rsidR="00AA6705" w:rsidRPr="00C961BD">
        <w:rPr>
          <w:rFonts w:ascii="Times New Roman" w:hAnsi="Times New Roman" w:cs="Times New Roman"/>
          <w:lang w:val="en-GB"/>
        </w:rPr>
        <w:t xml:space="preserve"> </w:t>
      </w:r>
      <w:r w:rsidR="008671D0" w:rsidRPr="00C961BD">
        <w:rPr>
          <w:rFonts w:ascii="Times New Roman" w:hAnsi="Times New Roman" w:cs="Times New Roman"/>
          <w:lang w:val="en-GB"/>
        </w:rPr>
        <w:t>based on the 2019 and 2022 amendments to the Civil Procedure Act</w:t>
      </w:r>
      <w:r w:rsidR="00AA6705" w:rsidRPr="00C961BD">
        <w:rPr>
          <w:rStyle w:val="FootnoteReference"/>
          <w:rFonts w:ascii="Times New Roman" w:hAnsi="Times New Roman" w:cs="Times New Roman"/>
          <w:lang w:val="en-GB"/>
        </w:rPr>
        <w:footnoteReference w:id="4"/>
      </w:r>
      <w:r w:rsidR="00AA6705" w:rsidRPr="00C961BD">
        <w:rPr>
          <w:rFonts w:ascii="Times New Roman" w:hAnsi="Times New Roman" w:cs="Times New Roman"/>
          <w:lang w:val="en-GB"/>
        </w:rPr>
        <w:t>.</w:t>
      </w:r>
      <w:r w:rsidR="00FB27A3" w:rsidRPr="00C961BD">
        <w:rPr>
          <w:rFonts w:ascii="Times New Roman" w:hAnsi="Times New Roman" w:cs="Times New Roman"/>
          <w:lang w:val="en-GB"/>
        </w:rPr>
        <w:t xml:space="preserve"> </w:t>
      </w:r>
      <w:r w:rsidR="008671D0" w:rsidRPr="00C961BD">
        <w:rPr>
          <w:rFonts w:ascii="Times New Roman" w:hAnsi="Times New Roman" w:cs="Times New Roman"/>
          <w:lang w:val="en-GB"/>
        </w:rPr>
        <w:t xml:space="preserve">Finally, the paper </w:t>
      </w:r>
      <w:r w:rsidR="00E44947" w:rsidRPr="00C961BD">
        <w:rPr>
          <w:rFonts w:ascii="Times New Roman" w:hAnsi="Times New Roman" w:cs="Times New Roman"/>
          <w:lang w:val="en-GB"/>
        </w:rPr>
        <w:t>elaborates</w:t>
      </w:r>
      <w:r w:rsidR="00E44947" w:rsidRPr="00C961BD">
        <w:rPr>
          <w:rFonts w:ascii="Times New Roman" w:hAnsi="Times New Roman" w:cs="Times New Roman"/>
          <w:bCs/>
          <w:lang w:val="en-GB"/>
        </w:rPr>
        <w:t xml:space="preserve"> some pending issues relating to the exercise of ownership rights </w:t>
      </w:r>
      <w:r w:rsidR="00E44947" w:rsidRPr="00C961BD">
        <w:rPr>
          <w:rFonts w:ascii="Times New Roman" w:hAnsi="Times New Roman" w:cs="Times New Roman"/>
          <w:bCs/>
          <w:i/>
          <w:lang w:val="en-GB"/>
        </w:rPr>
        <w:t>de lege lata</w:t>
      </w:r>
      <w:r w:rsidR="00E44947" w:rsidRPr="00C961BD">
        <w:rPr>
          <w:rFonts w:ascii="Times New Roman" w:hAnsi="Times New Roman" w:cs="Times New Roman"/>
          <w:bCs/>
          <w:lang w:val="en-GB"/>
        </w:rPr>
        <w:t xml:space="preserve"> as well as possible legal solutions and the potential need for intervention by the legislator </w:t>
      </w:r>
      <w:r w:rsidR="00E44947" w:rsidRPr="00C961BD">
        <w:rPr>
          <w:rFonts w:ascii="Times New Roman" w:hAnsi="Times New Roman" w:cs="Times New Roman"/>
          <w:bCs/>
          <w:i/>
          <w:lang w:val="en-GB"/>
        </w:rPr>
        <w:t>de lege ferenda</w:t>
      </w:r>
      <w:r w:rsidR="00EF6335" w:rsidRPr="00C961BD">
        <w:rPr>
          <w:rFonts w:ascii="Times New Roman" w:hAnsi="Times New Roman" w:cs="Times New Roman"/>
          <w:lang w:val="en-GB"/>
        </w:rPr>
        <w:t>.</w:t>
      </w:r>
    </w:p>
    <w:p w14:paraId="7DD9A64F" w14:textId="4768A53C" w:rsidR="00A36F12" w:rsidRPr="00C961BD" w:rsidRDefault="00A36F12" w:rsidP="00A36F12">
      <w:pPr>
        <w:spacing w:after="0" w:line="360" w:lineRule="auto"/>
        <w:jc w:val="both"/>
        <w:rPr>
          <w:rFonts w:ascii="Times New Roman" w:hAnsi="Times New Roman" w:cs="Times New Roman"/>
          <w:lang w:val="en-GB"/>
        </w:rPr>
      </w:pPr>
    </w:p>
    <w:p w14:paraId="7E788C12" w14:textId="6B14AC24" w:rsidR="00716546" w:rsidRPr="00C961BD" w:rsidRDefault="005702B8" w:rsidP="005702B8">
      <w:pPr>
        <w:spacing w:after="0" w:line="360" w:lineRule="auto"/>
        <w:jc w:val="both"/>
        <w:rPr>
          <w:rFonts w:ascii="Times New Roman" w:hAnsi="Times New Roman" w:cs="Times New Roman"/>
          <w:b/>
          <w:lang w:val="en-GB"/>
        </w:rPr>
      </w:pPr>
      <w:r w:rsidRPr="00C961BD">
        <w:rPr>
          <w:rFonts w:ascii="Times New Roman" w:hAnsi="Times New Roman" w:cs="Times New Roman"/>
          <w:b/>
          <w:lang w:val="en-GB"/>
        </w:rPr>
        <w:t xml:space="preserve">2.  </w:t>
      </w:r>
      <w:r w:rsidR="003B5FCB" w:rsidRPr="00C961BD">
        <w:rPr>
          <w:rFonts w:ascii="Times New Roman" w:hAnsi="Times New Roman" w:cs="Times New Roman"/>
          <w:b/>
          <w:lang w:val="en-GB"/>
        </w:rPr>
        <w:t>CO-OWNERSHIP CHARACTERISTICS</w:t>
      </w:r>
    </w:p>
    <w:p w14:paraId="4B38D36B" w14:textId="77777777" w:rsidR="005702B8" w:rsidRPr="00C961BD" w:rsidRDefault="005702B8" w:rsidP="005702B8">
      <w:pPr>
        <w:spacing w:after="0" w:line="257" w:lineRule="auto"/>
        <w:ind w:left="357"/>
        <w:rPr>
          <w:lang w:val="en-GB"/>
        </w:rPr>
      </w:pPr>
    </w:p>
    <w:p w14:paraId="02879527" w14:textId="41CA1EA4" w:rsidR="00F861B8" w:rsidRPr="00C961BD" w:rsidRDefault="003B5FCB" w:rsidP="006978A4">
      <w:pPr>
        <w:spacing w:after="0" w:line="360" w:lineRule="auto"/>
        <w:jc w:val="both"/>
        <w:rPr>
          <w:rFonts w:ascii="Times New Roman" w:hAnsi="Times New Roman" w:cs="Times New Roman"/>
          <w:lang w:val="en-GB"/>
        </w:rPr>
      </w:pPr>
      <w:bookmarkStart w:id="5" w:name="_Hlk121586551"/>
      <w:r w:rsidRPr="00C961BD">
        <w:rPr>
          <w:rFonts w:ascii="Times New Roman" w:hAnsi="Times New Roman" w:cs="Times New Roman"/>
          <w:lang w:val="en-GB"/>
        </w:rPr>
        <w:t>Co-ownership can be defined as several persons’ participation in the ownership of property whereat each co-owner holds</w:t>
      </w:r>
      <w:r w:rsidR="00143AEF" w:rsidRPr="00C961BD">
        <w:rPr>
          <w:rFonts w:ascii="Times New Roman" w:hAnsi="Times New Roman" w:cs="Times New Roman"/>
          <w:lang w:val="en-GB"/>
        </w:rPr>
        <w:t xml:space="preserve"> </w:t>
      </w:r>
      <w:bookmarkStart w:id="6" w:name="_Hlk136847316"/>
      <w:r w:rsidR="00143AEF" w:rsidRPr="00C961BD">
        <w:rPr>
          <w:rFonts w:ascii="Times New Roman" w:hAnsi="Times New Roman" w:cs="Times New Roman"/>
          <w:lang w:val="en-GB"/>
        </w:rPr>
        <w:t xml:space="preserve">part of rights resulting from the ownership, which is expressed as a percentage of interests in the property (ownership share or stake) </w:t>
      </w:r>
      <w:bookmarkEnd w:id="6"/>
      <w:r w:rsidR="0006612F" w:rsidRPr="00C961BD">
        <w:rPr>
          <w:rFonts w:ascii="Times New Roman" w:hAnsi="Times New Roman" w:cs="Times New Roman"/>
          <w:lang w:val="en-GB"/>
        </w:rPr>
        <w:t>(Gavella et.al., 2007 p. 683).</w:t>
      </w:r>
      <w:r w:rsidR="00716546" w:rsidRPr="00C961BD">
        <w:rPr>
          <w:rFonts w:ascii="Times New Roman" w:hAnsi="Times New Roman" w:cs="Times New Roman"/>
          <w:lang w:val="en-GB"/>
        </w:rPr>
        <w:t xml:space="preserve"> </w:t>
      </w:r>
      <w:r w:rsidR="00143AEF" w:rsidRPr="00C961BD">
        <w:rPr>
          <w:rFonts w:ascii="Times New Roman" w:hAnsi="Times New Roman" w:cs="Times New Roman"/>
          <w:lang w:val="en-GB"/>
        </w:rPr>
        <w:t>In other words, if several persons own property (object, thing) in a way that each of them holds part of rights resulting from the ownership of that property, which is expressed as a percentage of interests in the property (ownership share or stake)</w:t>
      </w:r>
      <w:r w:rsidR="00C67A71" w:rsidRPr="00C961BD">
        <w:rPr>
          <w:rFonts w:ascii="Times New Roman" w:hAnsi="Times New Roman" w:cs="Times New Roman"/>
          <w:lang w:val="en-GB"/>
        </w:rPr>
        <w:t xml:space="preserve">, </w:t>
      </w:r>
      <w:r w:rsidR="00143AEF" w:rsidRPr="00C961BD">
        <w:rPr>
          <w:rFonts w:ascii="Times New Roman" w:hAnsi="Times New Roman" w:cs="Times New Roman"/>
          <w:lang w:val="en-GB"/>
        </w:rPr>
        <w:t xml:space="preserve">they should be all regarded as </w:t>
      </w:r>
      <w:r w:rsidR="00751B0A" w:rsidRPr="00C961BD">
        <w:rPr>
          <w:rFonts w:ascii="Times New Roman" w:hAnsi="Times New Roman" w:cs="Times New Roman"/>
          <w:lang w:val="en-GB"/>
        </w:rPr>
        <w:t>property</w:t>
      </w:r>
      <w:r w:rsidR="00143AEF" w:rsidRPr="00C961BD">
        <w:rPr>
          <w:rFonts w:ascii="Times New Roman" w:hAnsi="Times New Roman" w:cs="Times New Roman"/>
          <w:lang w:val="en-GB"/>
        </w:rPr>
        <w:t xml:space="preserve"> co-owners and </w:t>
      </w:r>
      <w:r w:rsidR="00751B0A" w:rsidRPr="00C961BD">
        <w:rPr>
          <w:rFonts w:ascii="Times New Roman" w:hAnsi="Times New Roman" w:cs="Times New Roman"/>
          <w:lang w:val="en-GB"/>
        </w:rPr>
        <w:t xml:space="preserve">their </w:t>
      </w:r>
      <w:r w:rsidR="00143AEF" w:rsidRPr="00C961BD">
        <w:rPr>
          <w:rFonts w:ascii="Times New Roman" w:hAnsi="Times New Roman" w:cs="Times New Roman"/>
          <w:lang w:val="en-GB"/>
        </w:rPr>
        <w:t>parts of</w:t>
      </w:r>
      <w:r w:rsidR="00751B0A" w:rsidRPr="00C961BD">
        <w:rPr>
          <w:rFonts w:ascii="Times New Roman" w:hAnsi="Times New Roman" w:cs="Times New Roman"/>
          <w:lang w:val="en-GB"/>
        </w:rPr>
        <w:t xml:space="preserve"> property ownership are called fractional </w:t>
      </w:r>
      <w:r w:rsidR="00751B0A" w:rsidRPr="00C961BD">
        <w:rPr>
          <w:rFonts w:ascii="Times New Roman" w:hAnsi="Times New Roman" w:cs="Times New Roman"/>
          <w:lang w:val="en-GB"/>
        </w:rPr>
        <w:lastRenderedPageBreak/>
        <w:t>interests</w:t>
      </w:r>
      <w:r w:rsidR="00E40EA7" w:rsidRPr="00C961BD">
        <w:rPr>
          <w:rFonts w:ascii="Times New Roman" w:hAnsi="Times New Roman" w:cs="Times New Roman"/>
          <w:lang w:val="en-GB"/>
        </w:rPr>
        <w:t>.</w:t>
      </w:r>
      <w:r w:rsidR="00E40EA7" w:rsidRPr="00C961BD">
        <w:rPr>
          <w:rStyle w:val="FootnoteReference"/>
          <w:rFonts w:ascii="Times New Roman" w:hAnsi="Times New Roman" w:cs="Times New Roman"/>
          <w:lang w:val="en-GB"/>
        </w:rPr>
        <w:footnoteReference w:id="5"/>
      </w:r>
      <w:r w:rsidR="009B7574" w:rsidRPr="00C961BD">
        <w:rPr>
          <w:rFonts w:ascii="Times New Roman" w:hAnsi="Times New Roman" w:cs="Times New Roman"/>
          <w:lang w:val="en-GB"/>
        </w:rPr>
        <w:t xml:space="preserve"> </w:t>
      </w:r>
      <w:r w:rsidR="00487DD5" w:rsidRPr="00C961BD">
        <w:rPr>
          <w:rFonts w:ascii="Times New Roman" w:hAnsi="Times New Roman" w:cs="Times New Roman"/>
          <w:lang w:val="en-GB"/>
        </w:rPr>
        <w:t>When property (object, thing) is co-owned, none of the co-owner</w:t>
      </w:r>
      <w:r w:rsidR="00541FAF" w:rsidRPr="00C961BD">
        <w:rPr>
          <w:rFonts w:ascii="Times New Roman" w:hAnsi="Times New Roman" w:cs="Times New Roman"/>
          <w:lang w:val="en-GB"/>
        </w:rPr>
        <w:t>s</w:t>
      </w:r>
      <w:r w:rsidR="00487DD5" w:rsidRPr="00C961BD">
        <w:rPr>
          <w:rFonts w:ascii="Times New Roman" w:hAnsi="Times New Roman" w:cs="Times New Roman"/>
          <w:lang w:val="en-GB"/>
        </w:rPr>
        <w:t xml:space="preserve"> </w:t>
      </w:r>
      <w:r w:rsidR="00541FAF" w:rsidRPr="00C961BD">
        <w:rPr>
          <w:rFonts w:ascii="Times New Roman" w:hAnsi="Times New Roman" w:cs="Times New Roman"/>
          <w:lang w:val="en-GB"/>
        </w:rPr>
        <w:t>may neither claim nor act as if he/she was the only owner of his/her fractional interest in the property (undivided interest)</w:t>
      </w:r>
      <w:r w:rsidR="003A720F" w:rsidRPr="00C961BD">
        <w:rPr>
          <w:rFonts w:ascii="Times New Roman" w:hAnsi="Times New Roman" w:cs="Times New Roman"/>
          <w:lang w:val="en-GB"/>
        </w:rPr>
        <w:t xml:space="preserve">. </w:t>
      </w:r>
      <w:r w:rsidR="00541FAF" w:rsidRPr="00C961BD">
        <w:rPr>
          <w:rFonts w:ascii="Times New Roman" w:hAnsi="Times New Roman" w:cs="Times New Roman"/>
          <w:lang w:val="en-GB"/>
        </w:rPr>
        <w:t>Thus, each co-owner is simultaneously a co-owner of the whole property as well as every single part</w:t>
      </w:r>
      <w:r w:rsidR="000C3219">
        <w:rPr>
          <w:rFonts w:ascii="Times New Roman" w:hAnsi="Times New Roman" w:cs="Times New Roman"/>
          <w:lang w:val="en-GB"/>
        </w:rPr>
        <w:t xml:space="preserve"> thereof</w:t>
      </w:r>
      <w:r w:rsidR="00541FAF" w:rsidRPr="00C961BD">
        <w:rPr>
          <w:rFonts w:ascii="Times New Roman" w:hAnsi="Times New Roman" w:cs="Times New Roman"/>
          <w:lang w:val="en-GB"/>
        </w:rPr>
        <w:t xml:space="preserve">, but only </w:t>
      </w:r>
      <w:r w:rsidR="00143E52" w:rsidRPr="00C961BD">
        <w:rPr>
          <w:rFonts w:ascii="Times New Roman" w:hAnsi="Times New Roman" w:cs="Times New Roman"/>
          <w:lang w:val="en-GB"/>
        </w:rPr>
        <w:t>to the extent of his/her</w:t>
      </w:r>
      <w:r w:rsidR="00541FAF" w:rsidRPr="00C961BD">
        <w:rPr>
          <w:rFonts w:ascii="Times New Roman" w:hAnsi="Times New Roman" w:cs="Times New Roman"/>
          <w:lang w:val="en-GB"/>
        </w:rPr>
        <w:t xml:space="preserve"> aliquot</w:t>
      </w:r>
      <w:r w:rsidR="00143E52" w:rsidRPr="00C961BD">
        <w:rPr>
          <w:rFonts w:ascii="Times New Roman" w:hAnsi="Times New Roman" w:cs="Times New Roman"/>
          <w:lang w:val="en-GB"/>
        </w:rPr>
        <w:t xml:space="preserve"> share</w:t>
      </w:r>
      <w:r w:rsidR="003A720F" w:rsidRPr="00C961BD">
        <w:rPr>
          <w:rFonts w:ascii="Times New Roman" w:hAnsi="Times New Roman" w:cs="Times New Roman"/>
          <w:lang w:val="en-GB"/>
        </w:rPr>
        <w:t xml:space="preserve">. </w:t>
      </w:r>
      <w:r w:rsidR="00143E52" w:rsidRPr="00C961BD">
        <w:rPr>
          <w:rFonts w:ascii="Times New Roman" w:hAnsi="Times New Roman" w:cs="Times New Roman"/>
          <w:lang w:val="en-GB"/>
        </w:rPr>
        <w:t xml:space="preserve">When one says that co-ownership is divided into shares, this means that every co-owner holds all the property rights (possession, use, enjoyment and disposal of property), but only to the extent of his/her aliquot </w:t>
      </w:r>
      <w:r w:rsidR="000C3219">
        <w:rPr>
          <w:rFonts w:ascii="Times New Roman" w:hAnsi="Times New Roman" w:cs="Times New Roman"/>
          <w:lang w:val="en-GB"/>
        </w:rPr>
        <w:t xml:space="preserve">share </w:t>
      </w:r>
      <w:r w:rsidR="0006612F" w:rsidRPr="00C961BD">
        <w:rPr>
          <w:rFonts w:ascii="Times New Roman" w:hAnsi="Times New Roman" w:cs="Times New Roman"/>
          <w:lang w:val="en-GB"/>
        </w:rPr>
        <w:t>(Klarić, Vedriš, 2006 p. 249).</w:t>
      </w:r>
      <w:r w:rsidR="00E40EBA" w:rsidRPr="00C961BD">
        <w:rPr>
          <w:rFonts w:ascii="Times New Roman" w:hAnsi="Times New Roman" w:cs="Times New Roman"/>
          <w:lang w:val="en-GB"/>
        </w:rPr>
        <w:t xml:space="preserve"> </w:t>
      </w:r>
      <w:r w:rsidR="005A6310">
        <w:rPr>
          <w:rFonts w:ascii="Times New Roman" w:hAnsi="Times New Roman" w:cs="Times New Roman"/>
          <w:lang w:val="en-GB"/>
        </w:rPr>
        <w:t>T</w:t>
      </w:r>
      <w:r w:rsidR="00D85532" w:rsidRPr="00C961BD">
        <w:rPr>
          <w:rFonts w:ascii="Times New Roman" w:hAnsi="Times New Roman" w:cs="Times New Roman"/>
          <w:lang w:val="en-GB"/>
        </w:rPr>
        <w:t>he Act on Ownership and Other Proprietary Rights defines the limits of the exercise of ownership rights with respect to the whole property (object, thing)</w:t>
      </w:r>
      <w:r w:rsidR="004B5CC9" w:rsidRPr="00C961BD">
        <w:rPr>
          <w:rFonts w:ascii="Times New Roman" w:hAnsi="Times New Roman" w:cs="Times New Roman"/>
          <w:lang w:val="en-GB"/>
        </w:rPr>
        <w:t>, particularly concerning property management rights, desist of property possession and exercise of ownership rights</w:t>
      </w:r>
      <w:r w:rsidR="00E40EBA" w:rsidRPr="00C961BD">
        <w:rPr>
          <w:rFonts w:ascii="Times New Roman" w:hAnsi="Times New Roman" w:cs="Times New Roman"/>
          <w:lang w:val="en-GB"/>
        </w:rPr>
        <w:t xml:space="preserve">. </w:t>
      </w:r>
      <w:r w:rsidR="004B5CC9" w:rsidRPr="00C961BD">
        <w:rPr>
          <w:rFonts w:ascii="Times New Roman" w:hAnsi="Times New Roman" w:cs="Times New Roman"/>
          <w:lang w:val="en-GB"/>
        </w:rPr>
        <w:t xml:space="preserve">In this sense, co-ownership is substantially restrained by modifications necessary for the existence and survival of a community of owners, which results in relativization of proprietary rights and claims </w:t>
      </w:r>
      <w:r w:rsidR="0006612F" w:rsidRPr="00C961BD">
        <w:rPr>
          <w:rFonts w:ascii="Times New Roman" w:hAnsi="Times New Roman" w:cs="Times New Roman"/>
          <w:lang w:val="en-GB"/>
        </w:rPr>
        <w:t>(Maganić, 2008 p. 2).</w:t>
      </w:r>
    </w:p>
    <w:p w14:paraId="3874562F" w14:textId="61E48872" w:rsidR="00A36F12" w:rsidRPr="00C961BD" w:rsidRDefault="0038558A" w:rsidP="00066E72">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Considering the exercise of ownership rights in regard to the whole property (object, thing), it can be generally concluded that every co-owner may exercise all of his/her powers provided to him/her as a holder of part of </w:t>
      </w:r>
      <w:r w:rsidR="005A6310">
        <w:rPr>
          <w:rFonts w:ascii="Times New Roman" w:hAnsi="Times New Roman" w:cs="Times New Roman"/>
          <w:lang w:val="en-GB"/>
        </w:rPr>
        <w:t>ownership rights</w:t>
      </w:r>
      <w:r w:rsidRPr="00C961BD">
        <w:rPr>
          <w:rFonts w:ascii="Times New Roman" w:hAnsi="Times New Roman" w:cs="Times New Roman"/>
          <w:lang w:val="en-GB"/>
        </w:rPr>
        <w:t xml:space="preserve"> without consent of other co-owner</w:t>
      </w:r>
      <w:r w:rsidR="009940BA" w:rsidRPr="00C961BD">
        <w:rPr>
          <w:rFonts w:ascii="Times New Roman" w:hAnsi="Times New Roman" w:cs="Times New Roman"/>
          <w:lang w:val="en-GB"/>
        </w:rPr>
        <w:t>s</w:t>
      </w:r>
      <w:r w:rsidRPr="00C961BD">
        <w:rPr>
          <w:rFonts w:ascii="Times New Roman" w:hAnsi="Times New Roman" w:cs="Times New Roman"/>
          <w:lang w:val="en-GB"/>
        </w:rPr>
        <w:t xml:space="preserve"> if such exercise does not violate their rights</w:t>
      </w:r>
      <w:r w:rsidR="00F861B8" w:rsidRPr="00C961BD">
        <w:rPr>
          <w:rFonts w:ascii="Times New Roman" w:hAnsi="Times New Roman" w:cs="Times New Roman"/>
          <w:lang w:val="en-GB"/>
        </w:rPr>
        <w:t>.</w:t>
      </w:r>
      <w:r w:rsidR="00F861B8" w:rsidRPr="00C961BD">
        <w:rPr>
          <w:rStyle w:val="FootnoteReference"/>
          <w:rFonts w:ascii="Times New Roman" w:hAnsi="Times New Roman" w:cs="Times New Roman"/>
          <w:lang w:val="en-GB"/>
        </w:rPr>
        <w:footnoteReference w:id="6"/>
      </w:r>
      <w:r w:rsidR="002B01DD" w:rsidRPr="00C961BD">
        <w:rPr>
          <w:rFonts w:ascii="Times New Roman" w:hAnsi="Times New Roman" w:cs="Times New Roman"/>
          <w:lang w:val="en-GB"/>
        </w:rPr>
        <w:t xml:space="preserve"> </w:t>
      </w:r>
      <w:r w:rsidRPr="00C961BD">
        <w:rPr>
          <w:rFonts w:ascii="Times New Roman" w:hAnsi="Times New Roman" w:cs="Times New Roman"/>
          <w:lang w:val="en-GB"/>
        </w:rPr>
        <w:t>In this context, every co-owner has t</w:t>
      </w:r>
      <w:r w:rsidR="008E3FAC" w:rsidRPr="00C961BD">
        <w:rPr>
          <w:rFonts w:ascii="Times New Roman" w:hAnsi="Times New Roman" w:cs="Times New Roman"/>
          <w:lang w:val="en-GB"/>
        </w:rPr>
        <w:t xml:space="preserve">he right to make independent (regardless of the opinion of other co-owners thereon) decisions on, among other things, co-owned property management, </w:t>
      </w:r>
      <w:r w:rsidR="002347A5">
        <w:rPr>
          <w:rFonts w:ascii="Times New Roman" w:hAnsi="Times New Roman" w:cs="Times New Roman"/>
          <w:lang w:val="en-GB"/>
        </w:rPr>
        <w:t>clearance of the accounts</w:t>
      </w:r>
      <w:r w:rsidR="008E3FAC" w:rsidRPr="00C961BD">
        <w:rPr>
          <w:rFonts w:ascii="Times New Roman" w:hAnsi="Times New Roman" w:cs="Times New Roman"/>
          <w:lang w:val="en-GB"/>
        </w:rPr>
        <w:t xml:space="preserve"> and benefit</w:t>
      </w:r>
      <w:r w:rsidR="002347A5">
        <w:rPr>
          <w:rFonts w:ascii="Times New Roman" w:hAnsi="Times New Roman" w:cs="Times New Roman"/>
          <w:lang w:val="en-GB"/>
        </w:rPr>
        <w:t>s</w:t>
      </w:r>
      <w:r w:rsidR="008E3FAC" w:rsidRPr="00C961BD">
        <w:rPr>
          <w:rFonts w:ascii="Times New Roman" w:hAnsi="Times New Roman" w:cs="Times New Roman"/>
          <w:lang w:val="en-GB"/>
        </w:rPr>
        <w:t xml:space="preserve"> </w:t>
      </w:r>
      <w:r w:rsidR="002347A5">
        <w:rPr>
          <w:rFonts w:ascii="Times New Roman" w:hAnsi="Times New Roman" w:cs="Times New Roman"/>
          <w:lang w:val="en-GB"/>
        </w:rPr>
        <w:t xml:space="preserve">resulting </w:t>
      </w:r>
      <w:r w:rsidR="008E3FAC" w:rsidRPr="00C961BD">
        <w:rPr>
          <w:rFonts w:ascii="Times New Roman" w:hAnsi="Times New Roman" w:cs="Times New Roman"/>
          <w:lang w:val="en-GB"/>
        </w:rPr>
        <w:t>from property</w:t>
      </w:r>
      <w:r w:rsidR="002347A5">
        <w:rPr>
          <w:rFonts w:ascii="Times New Roman" w:hAnsi="Times New Roman" w:cs="Times New Roman"/>
          <w:lang w:val="en-GB"/>
        </w:rPr>
        <w:t xml:space="preserve"> use</w:t>
      </w:r>
      <w:r w:rsidR="008E3FAC" w:rsidRPr="00C961BD">
        <w:rPr>
          <w:rFonts w:ascii="Times New Roman" w:hAnsi="Times New Roman" w:cs="Times New Roman"/>
          <w:lang w:val="en-GB"/>
        </w:rPr>
        <w:t>,</w:t>
      </w:r>
      <w:r w:rsidR="009940BA" w:rsidRPr="00C961BD">
        <w:rPr>
          <w:rFonts w:ascii="Times New Roman" w:hAnsi="Times New Roman" w:cs="Times New Roman"/>
          <w:lang w:val="en-GB"/>
        </w:rPr>
        <w:t xml:space="preserve"> requests</w:t>
      </w:r>
      <w:r w:rsidR="008E3FAC" w:rsidRPr="00C961BD">
        <w:rPr>
          <w:rFonts w:ascii="Times New Roman" w:hAnsi="Times New Roman" w:cs="Times New Roman"/>
          <w:lang w:val="en-GB"/>
        </w:rPr>
        <w:t xml:space="preserve"> </w:t>
      </w:r>
      <w:r w:rsidR="009940BA" w:rsidRPr="00C961BD">
        <w:rPr>
          <w:rFonts w:ascii="Times New Roman" w:hAnsi="Times New Roman" w:cs="Times New Roman"/>
          <w:lang w:val="en-GB"/>
        </w:rPr>
        <w:t>to</w:t>
      </w:r>
      <w:r w:rsidR="008E3FAC" w:rsidRPr="00C961BD">
        <w:rPr>
          <w:rFonts w:ascii="Times New Roman" w:hAnsi="Times New Roman" w:cs="Times New Roman"/>
          <w:lang w:val="en-GB"/>
        </w:rPr>
        <w:t xml:space="preserve"> other </w:t>
      </w:r>
      <w:r w:rsidR="009940BA" w:rsidRPr="00C961BD">
        <w:rPr>
          <w:rFonts w:ascii="Times New Roman" w:hAnsi="Times New Roman" w:cs="Times New Roman"/>
          <w:lang w:val="en-GB"/>
        </w:rPr>
        <w:t>co-owners based on relationships arising from the co-ownership</w:t>
      </w:r>
      <w:r w:rsidR="002347A5">
        <w:rPr>
          <w:rFonts w:ascii="Times New Roman" w:hAnsi="Times New Roman" w:cs="Times New Roman"/>
          <w:lang w:val="en-GB"/>
        </w:rPr>
        <w:t xml:space="preserve"> and</w:t>
      </w:r>
      <w:r w:rsidR="009940BA" w:rsidRPr="00C961BD">
        <w:rPr>
          <w:rFonts w:ascii="Times New Roman" w:hAnsi="Times New Roman" w:cs="Times New Roman"/>
          <w:lang w:val="en-GB"/>
        </w:rPr>
        <w:t xml:space="preserve"> requests to third parties </w:t>
      </w:r>
      <w:r w:rsidR="002347A5">
        <w:rPr>
          <w:rFonts w:ascii="Times New Roman" w:hAnsi="Times New Roman" w:cs="Times New Roman"/>
          <w:lang w:val="en-GB"/>
        </w:rPr>
        <w:t>made in the role of</w:t>
      </w:r>
      <w:r w:rsidR="009940BA" w:rsidRPr="00C961BD">
        <w:rPr>
          <w:rFonts w:ascii="Times New Roman" w:hAnsi="Times New Roman" w:cs="Times New Roman"/>
          <w:lang w:val="en-GB"/>
        </w:rPr>
        <w:t xml:space="preserve"> the</w:t>
      </w:r>
      <w:r w:rsidR="002347A5">
        <w:rPr>
          <w:rFonts w:ascii="Times New Roman" w:hAnsi="Times New Roman" w:cs="Times New Roman"/>
          <w:lang w:val="en-GB"/>
        </w:rPr>
        <w:t xml:space="preserve"> property</w:t>
      </w:r>
      <w:r w:rsidR="009940BA" w:rsidRPr="00C961BD">
        <w:rPr>
          <w:rFonts w:ascii="Times New Roman" w:hAnsi="Times New Roman" w:cs="Times New Roman"/>
          <w:lang w:val="en-GB"/>
        </w:rPr>
        <w:t xml:space="preserve"> owner </w:t>
      </w:r>
      <w:r w:rsidR="00066BAB" w:rsidRPr="00C961BD">
        <w:rPr>
          <w:rFonts w:ascii="Times New Roman" w:hAnsi="Times New Roman" w:cs="Times New Roman"/>
          <w:lang w:val="en-GB"/>
        </w:rPr>
        <w:t>(</w:t>
      </w:r>
      <w:r w:rsidR="009940BA" w:rsidRPr="00C961BD">
        <w:rPr>
          <w:rFonts w:ascii="Times New Roman" w:hAnsi="Times New Roman" w:cs="Times New Roman"/>
          <w:lang w:val="en-GB"/>
        </w:rPr>
        <w:t>e</w:t>
      </w:r>
      <w:r w:rsidR="00066BAB" w:rsidRPr="00C961BD">
        <w:rPr>
          <w:rFonts w:ascii="Times New Roman" w:hAnsi="Times New Roman" w:cs="Times New Roman"/>
          <w:lang w:val="en-GB"/>
        </w:rPr>
        <w:t>.</w:t>
      </w:r>
      <w:r w:rsidR="009940BA" w:rsidRPr="00C961BD">
        <w:rPr>
          <w:rFonts w:ascii="Times New Roman" w:hAnsi="Times New Roman" w:cs="Times New Roman"/>
          <w:lang w:val="en-GB"/>
        </w:rPr>
        <w:t>g. request for property protection</w:t>
      </w:r>
      <w:r w:rsidR="00066BAB" w:rsidRPr="00C961BD">
        <w:rPr>
          <w:rFonts w:ascii="Times New Roman" w:hAnsi="Times New Roman" w:cs="Times New Roman"/>
          <w:lang w:val="en-GB"/>
        </w:rPr>
        <w:t>)</w:t>
      </w:r>
      <w:r w:rsidR="0006612F" w:rsidRPr="00C961BD">
        <w:rPr>
          <w:rFonts w:ascii="Times New Roman" w:hAnsi="Times New Roman" w:cs="Times New Roman"/>
          <w:lang w:val="en-GB"/>
        </w:rPr>
        <w:t xml:space="preserve"> (Gavella et.al., 2007 p. 691).</w:t>
      </w:r>
      <w:r w:rsidR="00066BAB" w:rsidRPr="00C961BD">
        <w:rPr>
          <w:rFonts w:ascii="Times New Roman" w:hAnsi="Times New Roman" w:cs="Times New Roman"/>
          <w:lang w:val="en-GB"/>
        </w:rPr>
        <w:t xml:space="preserve"> </w:t>
      </w:r>
      <w:r w:rsidR="004718A3" w:rsidRPr="00C961BD">
        <w:rPr>
          <w:rFonts w:ascii="Times New Roman" w:hAnsi="Times New Roman" w:cs="Times New Roman"/>
          <w:lang w:val="en-GB"/>
        </w:rPr>
        <w:t xml:space="preserve">If a co-owner of property (object, thing) makes a deal relating to that property without consent </w:t>
      </w:r>
      <w:r w:rsidR="00C961BD" w:rsidRPr="00C961BD">
        <w:rPr>
          <w:rFonts w:ascii="Times New Roman" w:hAnsi="Times New Roman" w:cs="Times New Roman"/>
          <w:lang w:val="en-GB"/>
        </w:rPr>
        <w:t>of other co-owners, the negotiorum gestio rules shall apply</w:t>
      </w:r>
      <w:r w:rsidR="00066BAB" w:rsidRPr="00C961BD">
        <w:rPr>
          <w:rStyle w:val="FootnoteReference"/>
          <w:rFonts w:ascii="Times New Roman" w:hAnsi="Times New Roman" w:cs="Times New Roman"/>
          <w:lang w:val="en-GB"/>
        </w:rPr>
        <w:footnoteReference w:id="7"/>
      </w:r>
      <w:r w:rsidR="008262A4" w:rsidRPr="00C961BD">
        <w:rPr>
          <w:rFonts w:ascii="Times New Roman" w:hAnsi="Times New Roman" w:cs="Times New Roman"/>
          <w:lang w:val="en-GB"/>
        </w:rPr>
        <w:t xml:space="preserve"> </w:t>
      </w:r>
      <w:r w:rsidR="00C961BD" w:rsidRPr="00C961BD">
        <w:rPr>
          <w:rFonts w:ascii="Times New Roman" w:hAnsi="Times New Roman" w:cs="Times New Roman"/>
          <w:lang w:val="en-GB"/>
        </w:rPr>
        <w:t>and the consequences of such a deal are prescribed by the law of obligations</w:t>
      </w:r>
      <w:r w:rsidR="008262A4" w:rsidRPr="00C961BD">
        <w:rPr>
          <w:rFonts w:ascii="Times New Roman" w:hAnsi="Times New Roman" w:cs="Times New Roman"/>
          <w:lang w:val="en-GB"/>
        </w:rPr>
        <w:t>.</w:t>
      </w:r>
      <w:r w:rsidR="00FD4B26" w:rsidRPr="00C961BD">
        <w:rPr>
          <w:rFonts w:ascii="Times New Roman" w:hAnsi="Times New Roman" w:cs="Times New Roman"/>
          <w:lang w:val="en-GB"/>
        </w:rPr>
        <w:t xml:space="preserve"> </w:t>
      </w:r>
      <w:r w:rsidR="00C961BD">
        <w:rPr>
          <w:rFonts w:ascii="Times New Roman" w:hAnsi="Times New Roman" w:cs="Times New Roman"/>
          <w:lang w:val="en-GB"/>
        </w:rPr>
        <w:t>Every co-owner is entitled, regardless of the size of his/her fractional interest, to decide, along with other co-owners, on every issue related to their common property</w:t>
      </w:r>
      <w:r w:rsidR="009F7B55" w:rsidRPr="00C961BD">
        <w:rPr>
          <w:rFonts w:ascii="Times New Roman" w:hAnsi="Times New Roman" w:cs="Times New Roman"/>
          <w:lang w:val="en-GB"/>
        </w:rPr>
        <w:t xml:space="preserve">. </w:t>
      </w:r>
      <w:r w:rsidR="00C961BD">
        <w:rPr>
          <w:rFonts w:ascii="Times New Roman" w:hAnsi="Times New Roman" w:cs="Times New Roman"/>
          <w:lang w:val="en-GB"/>
        </w:rPr>
        <w:t xml:space="preserve">Co-owners may express their views </w:t>
      </w:r>
      <w:r w:rsidR="0027400F" w:rsidRPr="0027400F">
        <w:rPr>
          <w:rFonts w:ascii="Times New Roman" w:hAnsi="Times New Roman" w:cs="Times New Roman"/>
          <w:lang w:val="en-GB"/>
        </w:rPr>
        <w:t>in any way, shape or form</w:t>
      </w:r>
      <w:r w:rsidR="00C961BD">
        <w:rPr>
          <w:rFonts w:ascii="Times New Roman" w:hAnsi="Times New Roman" w:cs="Times New Roman"/>
          <w:lang w:val="en-GB"/>
        </w:rPr>
        <w:t xml:space="preserve"> unless</w:t>
      </w:r>
      <w:r w:rsidR="0027400F">
        <w:rPr>
          <w:rFonts w:ascii="Times New Roman" w:hAnsi="Times New Roman" w:cs="Times New Roman"/>
          <w:lang w:val="en-GB"/>
        </w:rPr>
        <w:t xml:space="preserve"> an agreement or law requires t</w:t>
      </w:r>
      <w:r w:rsidR="00EF32A5">
        <w:rPr>
          <w:rFonts w:ascii="Times New Roman" w:hAnsi="Times New Roman" w:cs="Times New Roman"/>
          <w:lang w:val="en-GB"/>
        </w:rPr>
        <w:t>hem</w:t>
      </w:r>
      <w:r w:rsidR="0027400F">
        <w:rPr>
          <w:rFonts w:ascii="Times New Roman" w:hAnsi="Times New Roman" w:cs="Times New Roman"/>
          <w:lang w:val="en-GB"/>
        </w:rPr>
        <w:t xml:space="preserve"> </w:t>
      </w:r>
      <w:r w:rsidR="00EF32A5">
        <w:rPr>
          <w:rFonts w:ascii="Times New Roman" w:hAnsi="Times New Roman" w:cs="Times New Roman"/>
          <w:lang w:val="en-GB"/>
        </w:rPr>
        <w:t xml:space="preserve">to </w:t>
      </w:r>
      <w:r w:rsidR="0027400F">
        <w:rPr>
          <w:rFonts w:ascii="Times New Roman" w:hAnsi="Times New Roman" w:cs="Times New Roman"/>
          <w:lang w:val="en-GB"/>
        </w:rPr>
        <w:t xml:space="preserve">express </w:t>
      </w:r>
      <w:r w:rsidR="00EF32A5">
        <w:rPr>
          <w:rFonts w:ascii="Times New Roman" w:hAnsi="Times New Roman" w:cs="Times New Roman"/>
          <w:lang w:val="en-GB"/>
        </w:rPr>
        <w:t xml:space="preserve">their will </w:t>
      </w:r>
      <w:r w:rsidR="0027400F">
        <w:rPr>
          <w:rFonts w:ascii="Times New Roman" w:hAnsi="Times New Roman" w:cs="Times New Roman"/>
          <w:lang w:val="en-GB"/>
        </w:rPr>
        <w:t>in a specific way</w:t>
      </w:r>
      <w:r w:rsidR="008262A4" w:rsidRPr="00C961BD">
        <w:rPr>
          <w:rFonts w:ascii="Times New Roman" w:hAnsi="Times New Roman" w:cs="Times New Roman"/>
          <w:lang w:val="en-GB"/>
        </w:rPr>
        <w:t>.</w:t>
      </w:r>
      <w:r w:rsidR="00DD641E" w:rsidRPr="00C961BD">
        <w:rPr>
          <w:rStyle w:val="FootnoteReference"/>
          <w:rFonts w:ascii="Times New Roman" w:hAnsi="Times New Roman" w:cs="Times New Roman"/>
          <w:lang w:val="en-GB"/>
        </w:rPr>
        <w:footnoteReference w:id="8"/>
      </w:r>
      <w:r w:rsidR="004C38EB" w:rsidRPr="00C961BD">
        <w:rPr>
          <w:rFonts w:ascii="Times New Roman" w:hAnsi="Times New Roman" w:cs="Times New Roman"/>
          <w:lang w:val="en-GB"/>
        </w:rPr>
        <w:t xml:space="preserve"> </w:t>
      </w:r>
      <w:r w:rsidR="0027400F">
        <w:rPr>
          <w:rFonts w:ascii="Times New Roman" w:hAnsi="Times New Roman" w:cs="Times New Roman"/>
          <w:lang w:val="en-GB"/>
        </w:rPr>
        <w:t xml:space="preserve">Every co-owner can co-possess the co-owned property. Co-owners may </w:t>
      </w:r>
      <w:r w:rsidR="00EF32A5">
        <w:rPr>
          <w:rFonts w:ascii="Times New Roman" w:hAnsi="Times New Roman" w:cs="Times New Roman"/>
          <w:lang w:val="en-GB"/>
        </w:rPr>
        <w:t>arrange</w:t>
      </w:r>
      <w:r w:rsidR="0027400F">
        <w:rPr>
          <w:rFonts w:ascii="Times New Roman" w:hAnsi="Times New Roman" w:cs="Times New Roman"/>
          <w:lang w:val="en-GB"/>
        </w:rPr>
        <w:t xml:space="preserve"> desist of </w:t>
      </w:r>
      <w:r w:rsidR="00EF32A5">
        <w:rPr>
          <w:rFonts w:ascii="Times New Roman" w:hAnsi="Times New Roman" w:cs="Times New Roman"/>
          <w:lang w:val="en-GB"/>
        </w:rPr>
        <w:t xml:space="preserve">property </w:t>
      </w:r>
      <w:r w:rsidR="0027400F">
        <w:rPr>
          <w:rFonts w:ascii="Times New Roman" w:hAnsi="Times New Roman" w:cs="Times New Roman"/>
          <w:lang w:val="en-GB"/>
        </w:rPr>
        <w:t>possession</w:t>
      </w:r>
      <w:r w:rsidR="00A36F12" w:rsidRPr="00C961BD">
        <w:rPr>
          <w:rFonts w:ascii="Times New Roman" w:hAnsi="Times New Roman" w:cs="Times New Roman"/>
          <w:lang w:val="en-GB"/>
        </w:rPr>
        <w:t xml:space="preserve">. </w:t>
      </w:r>
      <w:r w:rsidR="0027400F">
        <w:rPr>
          <w:rFonts w:ascii="Times New Roman" w:hAnsi="Times New Roman" w:cs="Times New Roman"/>
          <w:lang w:val="en-GB"/>
        </w:rPr>
        <w:t xml:space="preserve">The possibilities of property division are various since the co-owners can do with their property </w:t>
      </w:r>
      <w:r w:rsidR="00EF32A5">
        <w:rPr>
          <w:rFonts w:ascii="Times New Roman" w:hAnsi="Times New Roman" w:cs="Times New Roman"/>
          <w:lang w:val="en-GB"/>
        </w:rPr>
        <w:t>everything that is not prohibited by the law</w:t>
      </w:r>
      <w:r w:rsidR="00E0139E" w:rsidRPr="00C961BD">
        <w:rPr>
          <w:rFonts w:ascii="Times New Roman" w:hAnsi="Times New Roman" w:cs="Times New Roman"/>
          <w:lang w:val="en-GB"/>
        </w:rPr>
        <w:t>.</w:t>
      </w:r>
      <w:r w:rsidR="00EF32A5">
        <w:rPr>
          <w:rFonts w:ascii="Times New Roman" w:hAnsi="Times New Roman" w:cs="Times New Roman"/>
          <w:lang w:val="en-GB"/>
        </w:rPr>
        <w:t xml:space="preserve"> General government</w:t>
      </w:r>
      <w:r w:rsidR="005A6310">
        <w:rPr>
          <w:rFonts w:ascii="Times New Roman" w:hAnsi="Times New Roman" w:cs="Times New Roman"/>
          <w:lang w:val="en-GB"/>
        </w:rPr>
        <w:t xml:space="preserve"> (ordinary administration)</w:t>
      </w:r>
      <w:r w:rsidR="00EF32A5">
        <w:rPr>
          <w:rFonts w:ascii="Times New Roman" w:hAnsi="Times New Roman" w:cs="Times New Roman"/>
          <w:lang w:val="en-GB"/>
        </w:rPr>
        <w:t xml:space="preserve"> is in charge of affairs related to desist of property </w:t>
      </w:r>
      <w:r w:rsidR="00EF32A5">
        <w:rPr>
          <w:rFonts w:ascii="Times New Roman" w:hAnsi="Times New Roman" w:cs="Times New Roman"/>
          <w:lang w:val="en-GB"/>
        </w:rPr>
        <w:lastRenderedPageBreak/>
        <w:t>possession</w:t>
      </w:r>
      <w:r w:rsidR="00E0139E" w:rsidRPr="00C961BD">
        <w:rPr>
          <w:rFonts w:ascii="Times New Roman" w:hAnsi="Times New Roman" w:cs="Times New Roman"/>
          <w:lang w:val="en-GB"/>
        </w:rPr>
        <w:t>.</w:t>
      </w:r>
      <w:r w:rsidR="00E0139E" w:rsidRPr="00C961BD">
        <w:rPr>
          <w:rStyle w:val="FootnoteReference"/>
          <w:rFonts w:ascii="Times New Roman" w:hAnsi="Times New Roman" w:cs="Times New Roman"/>
          <w:lang w:val="en-GB"/>
        </w:rPr>
        <w:footnoteReference w:id="9"/>
      </w:r>
      <w:r w:rsidR="00E3237C" w:rsidRPr="00C961BD">
        <w:rPr>
          <w:rFonts w:ascii="Times New Roman" w:hAnsi="Times New Roman" w:cs="Times New Roman"/>
          <w:vertAlign w:val="superscript"/>
          <w:lang w:val="en-GB"/>
        </w:rPr>
        <w:t>,</w:t>
      </w:r>
      <w:r w:rsidR="00E3237C" w:rsidRPr="00C961BD">
        <w:rPr>
          <w:rFonts w:ascii="Times New Roman" w:hAnsi="Times New Roman" w:cs="Times New Roman"/>
          <w:lang w:val="en-GB"/>
        </w:rPr>
        <w:t xml:space="preserve"> </w:t>
      </w:r>
      <w:r w:rsidR="00E3237C" w:rsidRPr="00C961BD">
        <w:rPr>
          <w:rStyle w:val="FootnoteReference"/>
          <w:rFonts w:ascii="Times New Roman" w:hAnsi="Times New Roman" w:cs="Times New Roman"/>
          <w:lang w:val="en-GB"/>
        </w:rPr>
        <w:footnoteReference w:id="10"/>
      </w:r>
      <w:r w:rsidR="00E3237C" w:rsidRPr="00C961BD">
        <w:rPr>
          <w:rFonts w:ascii="Times New Roman" w:hAnsi="Times New Roman" w:cs="Times New Roman"/>
          <w:lang w:val="en-GB"/>
        </w:rPr>
        <w:t xml:space="preserve"> </w:t>
      </w:r>
      <w:r w:rsidR="00EF32A5">
        <w:rPr>
          <w:rFonts w:ascii="Times New Roman" w:hAnsi="Times New Roman" w:cs="Times New Roman"/>
          <w:lang w:val="en-GB"/>
        </w:rPr>
        <w:t>A co-</w:t>
      </w:r>
      <w:proofErr w:type="gramStart"/>
      <w:r w:rsidR="00EF32A5">
        <w:rPr>
          <w:rFonts w:ascii="Times New Roman" w:hAnsi="Times New Roman" w:cs="Times New Roman"/>
          <w:lang w:val="en-GB"/>
        </w:rPr>
        <w:t>owners’</w:t>
      </w:r>
      <w:proofErr w:type="gramEnd"/>
      <w:r w:rsidR="00EF32A5">
        <w:rPr>
          <w:rFonts w:ascii="Times New Roman" w:hAnsi="Times New Roman" w:cs="Times New Roman"/>
          <w:lang w:val="en-GB"/>
        </w:rPr>
        <w:t xml:space="preserve"> decision on desist of property possession can be revoked and the co-owners are entitled to revoke or amend such</w:t>
      </w:r>
      <w:r w:rsidR="005A6310">
        <w:rPr>
          <w:rFonts w:ascii="Times New Roman" w:hAnsi="Times New Roman" w:cs="Times New Roman"/>
          <w:lang w:val="en-GB"/>
        </w:rPr>
        <w:t xml:space="preserve"> </w:t>
      </w:r>
      <w:r w:rsidR="00EF32A5">
        <w:rPr>
          <w:rFonts w:ascii="Times New Roman" w:hAnsi="Times New Roman" w:cs="Times New Roman"/>
          <w:lang w:val="en-GB"/>
        </w:rPr>
        <w:t>a decision</w:t>
      </w:r>
      <w:r w:rsidR="00E3237C" w:rsidRPr="00C961BD">
        <w:rPr>
          <w:rFonts w:ascii="Times New Roman" w:hAnsi="Times New Roman" w:cs="Times New Roman"/>
          <w:lang w:val="en-GB"/>
        </w:rPr>
        <w:t xml:space="preserve">. </w:t>
      </w:r>
      <w:r w:rsidR="00EF32A5">
        <w:rPr>
          <w:rFonts w:ascii="Times New Roman" w:hAnsi="Times New Roman" w:cs="Times New Roman"/>
          <w:lang w:val="en-GB"/>
        </w:rPr>
        <w:t xml:space="preserve">The final decision on the revocation or amendment is made by </w:t>
      </w:r>
      <w:r w:rsidR="005A6310">
        <w:rPr>
          <w:rFonts w:ascii="Times New Roman" w:hAnsi="Times New Roman" w:cs="Times New Roman"/>
          <w:lang w:val="en-GB"/>
        </w:rPr>
        <w:t>ordinary administration</w:t>
      </w:r>
      <w:r w:rsidR="00EF32A5">
        <w:rPr>
          <w:rFonts w:ascii="Times New Roman" w:hAnsi="Times New Roman" w:cs="Times New Roman"/>
          <w:lang w:val="en-GB"/>
        </w:rPr>
        <w:t xml:space="preserve"> too</w:t>
      </w:r>
      <w:r w:rsidR="00B540FF" w:rsidRPr="00C961BD">
        <w:rPr>
          <w:lang w:val="en-GB"/>
        </w:rPr>
        <w:t xml:space="preserve"> </w:t>
      </w:r>
      <w:r w:rsidR="00B540FF" w:rsidRPr="00C961BD">
        <w:rPr>
          <w:rFonts w:ascii="Times New Roman" w:hAnsi="Times New Roman" w:cs="Times New Roman"/>
          <w:lang w:val="en-GB"/>
        </w:rPr>
        <w:t>(Gavella et.al., 2007 p. 697).</w:t>
      </w:r>
    </w:p>
    <w:bookmarkEnd w:id="5"/>
    <w:p w14:paraId="621B11D4" w14:textId="77777777" w:rsidR="008262EA" w:rsidRPr="00C961BD" w:rsidRDefault="008262EA" w:rsidP="008262EA">
      <w:pPr>
        <w:spacing w:after="0" w:line="360" w:lineRule="auto"/>
        <w:ind w:firstLine="357"/>
        <w:jc w:val="both"/>
        <w:rPr>
          <w:rFonts w:ascii="Times New Roman" w:hAnsi="Times New Roman" w:cs="Times New Roman"/>
          <w:lang w:val="en-GB"/>
        </w:rPr>
      </w:pPr>
    </w:p>
    <w:p w14:paraId="4387DA2B" w14:textId="77777777" w:rsidR="008262EA" w:rsidRPr="00C961BD" w:rsidRDefault="008262EA" w:rsidP="008262EA">
      <w:pPr>
        <w:spacing w:after="0" w:line="360" w:lineRule="auto"/>
        <w:ind w:firstLine="357"/>
        <w:jc w:val="both"/>
        <w:rPr>
          <w:rFonts w:ascii="Times New Roman" w:hAnsi="Times New Roman" w:cs="Times New Roman"/>
          <w:lang w:val="en-GB"/>
        </w:rPr>
      </w:pPr>
    </w:p>
    <w:p w14:paraId="42E24BF1" w14:textId="52AB7FB0" w:rsidR="004E1D3E" w:rsidRPr="00C961BD" w:rsidRDefault="00180921" w:rsidP="00180921">
      <w:pPr>
        <w:spacing w:after="0" w:line="360" w:lineRule="auto"/>
        <w:rPr>
          <w:rFonts w:ascii="Times New Roman" w:hAnsi="Times New Roman" w:cs="Times New Roman"/>
          <w:b/>
          <w:lang w:val="en-GB"/>
        </w:rPr>
      </w:pPr>
      <w:r w:rsidRPr="00C961BD">
        <w:rPr>
          <w:rFonts w:ascii="Times New Roman" w:hAnsi="Times New Roman" w:cs="Times New Roman"/>
          <w:b/>
          <w:lang w:val="en-GB"/>
        </w:rPr>
        <w:t xml:space="preserve">3. </w:t>
      </w:r>
      <w:r w:rsidR="00662BF2">
        <w:rPr>
          <w:rFonts w:ascii="Times New Roman" w:hAnsi="Times New Roman" w:cs="Times New Roman"/>
          <w:b/>
          <w:lang w:val="en-GB"/>
        </w:rPr>
        <w:t>CASUISTRY</w:t>
      </w:r>
    </w:p>
    <w:p w14:paraId="1F911F15" w14:textId="77777777" w:rsidR="005702B8" w:rsidRPr="00C961BD" w:rsidRDefault="005702B8" w:rsidP="005702B8">
      <w:pPr>
        <w:pStyle w:val="ListParagraph"/>
        <w:spacing w:after="0" w:line="360" w:lineRule="auto"/>
        <w:ind w:left="714"/>
        <w:rPr>
          <w:rFonts w:ascii="Times New Roman" w:hAnsi="Times New Roman" w:cs="Times New Roman"/>
          <w:b/>
          <w:lang w:val="en-GB"/>
        </w:rPr>
      </w:pPr>
    </w:p>
    <w:p w14:paraId="481788F8" w14:textId="6FE71696" w:rsidR="0055338A" w:rsidRPr="00C961BD" w:rsidRDefault="00433A24" w:rsidP="00433A24">
      <w:pPr>
        <w:spacing w:after="0" w:line="360" w:lineRule="auto"/>
        <w:jc w:val="both"/>
        <w:rPr>
          <w:rFonts w:ascii="Times New Roman" w:hAnsi="Times New Roman" w:cs="Times New Roman"/>
          <w:lang w:val="en-GB"/>
        </w:rPr>
      </w:pPr>
      <w:r>
        <w:rPr>
          <w:rFonts w:ascii="Times New Roman" w:hAnsi="Times New Roman" w:cs="Times New Roman"/>
          <w:lang w:val="en-GB"/>
        </w:rPr>
        <w:t>At its session held on 1 March 2012, the Civil Law Department of the SCRC adopted the following stance</w:t>
      </w:r>
      <w:r w:rsidR="009A6379" w:rsidRPr="00C961BD">
        <w:rPr>
          <w:rFonts w:ascii="Times New Roman" w:hAnsi="Times New Roman" w:cs="Times New Roman"/>
          <w:lang w:val="en-GB"/>
        </w:rPr>
        <w:t>:</w:t>
      </w:r>
      <w:r w:rsidR="00423946">
        <w:rPr>
          <w:rFonts w:ascii="Times New Roman" w:hAnsi="Times New Roman" w:cs="Times New Roman"/>
          <w:lang w:val="en-GB"/>
        </w:rPr>
        <w:t xml:space="preserve"> ’’</w:t>
      </w:r>
      <w:r>
        <w:rPr>
          <w:rFonts w:ascii="Times New Roman" w:hAnsi="Times New Roman" w:cs="Times New Roman"/>
          <w:lang w:val="en-GB"/>
        </w:rPr>
        <w:t xml:space="preserve">As far as relationships between co-owners (owner and possessor) are concerned or more precisely, if one co-owner prevents the other </w:t>
      </w:r>
      <w:r w:rsidR="00CB2A41">
        <w:rPr>
          <w:rFonts w:ascii="Times New Roman" w:hAnsi="Times New Roman" w:cs="Times New Roman"/>
          <w:lang w:val="en-GB"/>
        </w:rPr>
        <w:t>from</w:t>
      </w:r>
      <w:r>
        <w:rPr>
          <w:rFonts w:ascii="Times New Roman" w:hAnsi="Times New Roman" w:cs="Times New Roman"/>
          <w:lang w:val="en-GB"/>
        </w:rPr>
        <w:t xml:space="preserve"> us</w:t>
      </w:r>
      <w:r w:rsidR="00CB2A41">
        <w:rPr>
          <w:rFonts w:ascii="Times New Roman" w:hAnsi="Times New Roman" w:cs="Times New Roman"/>
          <w:lang w:val="en-GB"/>
        </w:rPr>
        <w:t>ing</w:t>
      </w:r>
      <w:r>
        <w:rPr>
          <w:rFonts w:ascii="Times New Roman" w:hAnsi="Times New Roman" w:cs="Times New Roman"/>
          <w:lang w:val="en-GB"/>
        </w:rPr>
        <w:t xml:space="preserve"> co-owned (common) property (object, thing), the provisions of Articles 164 and 165 of the AOOPR shall apply</w:t>
      </w:r>
      <w:r w:rsidR="00423946">
        <w:rPr>
          <w:rFonts w:ascii="Times New Roman" w:hAnsi="Times New Roman" w:cs="Times New Roman"/>
          <w:lang w:val="en-GB"/>
        </w:rPr>
        <w:t>-’’</w:t>
      </w:r>
      <w:r w:rsidR="00436B4B" w:rsidRPr="00C961BD">
        <w:rPr>
          <w:rFonts w:ascii="Times New Roman" w:hAnsi="Times New Roman" w:cs="Times New Roman"/>
          <w:lang w:val="en-GB"/>
        </w:rPr>
        <w:t>.</w:t>
      </w:r>
      <w:r w:rsidR="00436B4B" w:rsidRPr="00C961BD">
        <w:rPr>
          <w:rStyle w:val="FootnoteReference"/>
          <w:rFonts w:ascii="Times New Roman" w:hAnsi="Times New Roman" w:cs="Times New Roman"/>
          <w:lang w:val="en-GB"/>
        </w:rPr>
        <w:footnoteReference w:id="11"/>
      </w:r>
      <w:r w:rsidR="009A6379" w:rsidRPr="00C961BD">
        <w:rPr>
          <w:rFonts w:ascii="Times New Roman" w:hAnsi="Times New Roman" w:cs="Times New Roman"/>
          <w:lang w:val="en-GB"/>
        </w:rPr>
        <w:t xml:space="preserve"> </w:t>
      </w:r>
      <w:r>
        <w:rPr>
          <w:rFonts w:ascii="Times New Roman" w:hAnsi="Times New Roman" w:cs="Times New Roman"/>
          <w:lang w:val="en-GB"/>
        </w:rPr>
        <w:t>In terms of a court case</w:t>
      </w:r>
      <w:r w:rsidR="00916DAB">
        <w:rPr>
          <w:rFonts w:ascii="Times New Roman" w:hAnsi="Times New Roman" w:cs="Times New Roman"/>
          <w:lang w:val="en-GB"/>
        </w:rPr>
        <w:t xml:space="preserve"> revolving around a (co)-owner’s claim against the </w:t>
      </w:r>
      <w:r w:rsidRPr="00433A24">
        <w:rPr>
          <w:rFonts w:ascii="Times New Roman" w:hAnsi="Times New Roman" w:cs="Times New Roman"/>
          <w:lang w:val="en-GB"/>
        </w:rPr>
        <w:t xml:space="preserve">possessor of </w:t>
      </w:r>
      <w:r w:rsidR="00423946">
        <w:rPr>
          <w:rFonts w:ascii="Times New Roman" w:hAnsi="Times New Roman" w:cs="Times New Roman"/>
          <w:lang w:val="en-GB"/>
        </w:rPr>
        <w:t xml:space="preserve">another person’s (thing) </w:t>
      </w:r>
      <w:r w:rsidR="00916DAB">
        <w:rPr>
          <w:rFonts w:ascii="Times New Roman" w:hAnsi="Times New Roman" w:cs="Times New Roman"/>
          <w:lang w:val="en-GB"/>
        </w:rPr>
        <w:t xml:space="preserve">property (or another co-owner’s share in the property), the legal status of the possessor needs to be determined for the purpose of providing compensation </w:t>
      </w:r>
      <w:r w:rsidRPr="00433A24">
        <w:rPr>
          <w:rFonts w:ascii="Times New Roman" w:hAnsi="Times New Roman" w:cs="Times New Roman"/>
          <w:lang w:val="en-GB"/>
        </w:rPr>
        <w:t xml:space="preserve">for having used </w:t>
      </w:r>
      <w:r w:rsidR="00916DAB">
        <w:rPr>
          <w:rFonts w:ascii="Times New Roman" w:hAnsi="Times New Roman" w:cs="Times New Roman"/>
          <w:lang w:val="en-GB"/>
        </w:rPr>
        <w:t>the property</w:t>
      </w:r>
      <w:r w:rsidRPr="00433A24">
        <w:rPr>
          <w:rFonts w:ascii="Times New Roman" w:hAnsi="Times New Roman" w:cs="Times New Roman"/>
          <w:lang w:val="en-GB"/>
        </w:rPr>
        <w:t xml:space="preserve"> or having benefited from it</w:t>
      </w:r>
      <w:r w:rsidR="00916DAB">
        <w:rPr>
          <w:rFonts w:ascii="Times New Roman" w:hAnsi="Times New Roman" w:cs="Times New Roman"/>
          <w:lang w:val="en-GB"/>
        </w:rPr>
        <w:t xml:space="preserve"> or for all benefits of the possession pursuant to Articles 164 and 165 of the AOOPR</w:t>
      </w:r>
      <w:r w:rsidR="005B710E">
        <w:rPr>
          <w:rFonts w:ascii="Times New Roman" w:hAnsi="Times New Roman" w:cs="Times New Roman"/>
          <w:lang w:val="en-GB"/>
        </w:rPr>
        <w:t>. On such an occasion, the claim does not have to include a request for surrender of the property (thing) if the (co)-owner has expressed his/her will to possess the property in an appropriate way</w:t>
      </w:r>
      <w:r w:rsidR="009A6379" w:rsidRPr="00C961BD">
        <w:rPr>
          <w:rFonts w:ascii="Times New Roman" w:hAnsi="Times New Roman" w:cs="Times New Roman"/>
          <w:lang w:val="en-GB"/>
        </w:rPr>
        <w:t xml:space="preserve">. </w:t>
      </w:r>
      <w:r w:rsidR="0063452B">
        <w:rPr>
          <w:rFonts w:ascii="Times New Roman" w:hAnsi="Times New Roman" w:cs="Times New Roman"/>
          <w:lang w:val="en-GB"/>
        </w:rPr>
        <w:t xml:space="preserve">A fair possessor </w:t>
      </w:r>
      <w:r w:rsidR="00423946">
        <w:rPr>
          <w:rFonts w:ascii="Times New Roman" w:hAnsi="Times New Roman" w:cs="Times New Roman"/>
          <w:lang w:val="en-GB"/>
        </w:rPr>
        <w:t xml:space="preserve">becomes an unfair possessor after receiving a claim for surrendering the possession or co-possession, but his/her unfairness may also refer to the period preceding the claim if the claimant had invited him/her to surrender the property in an appropriate </w:t>
      </w:r>
      <w:proofErr w:type="gramStart"/>
      <w:r w:rsidR="00423946">
        <w:rPr>
          <w:rFonts w:ascii="Times New Roman" w:hAnsi="Times New Roman" w:cs="Times New Roman"/>
          <w:lang w:val="en-GB"/>
        </w:rPr>
        <w:t>way</w:t>
      </w:r>
      <w:r w:rsidR="009A6379" w:rsidRPr="00C961BD">
        <w:rPr>
          <w:rFonts w:ascii="Times New Roman" w:hAnsi="Times New Roman" w:cs="Times New Roman"/>
          <w:lang w:val="en-GB"/>
        </w:rPr>
        <w:t>.“</w:t>
      </w:r>
      <w:proofErr w:type="gramEnd"/>
      <w:r w:rsidR="009A6379" w:rsidRPr="00C961BD">
        <w:rPr>
          <w:rStyle w:val="FootnoteReference"/>
          <w:rFonts w:ascii="Times New Roman" w:hAnsi="Times New Roman" w:cs="Times New Roman"/>
          <w:lang w:val="en-GB"/>
        </w:rPr>
        <w:footnoteReference w:id="12"/>
      </w:r>
    </w:p>
    <w:p w14:paraId="6706EE08" w14:textId="2AE8666C" w:rsidR="00F004B2" w:rsidRPr="00C961BD" w:rsidRDefault="00BD6962" w:rsidP="006978A4">
      <w:pPr>
        <w:spacing w:after="0" w:line="360" w:lineRule="auto"/>
        <w:jc w:val="both"/>
        <w:rPr>
          <w:rFonts w:ascii="Times New Roman" w:hAnsi="Times New Roman" w:cs="Times New Roman"/>
          <w:lang w:val="en-GB"/>
        </w:rPr>
      </w:pPr>
      <w:bookmarkStart w:id="10" w:name="_Hlk136975812"/>
      <w:r>
        <w:rPr>
          <w:rFonts w:ascii="Times New Roman" w:hAnsi="Times New Roman" w:cs="Times New Roman"/>
          <w:lang w:val="en-GB"/>
        </w:rPr>
        <w:lastRenderedPageBreak/>
        <w:t>In</w:t>
      </w:r>
      <w:r w:rsidR="008C4194">
        <w:rPr>
          <w:rFonts w:ascii="Times New Roman" w:hAnsi="Times New Roman" w:cs="Times New Roman"/>
          <w:lang w:val="en-GB"/>
        </w:rPr>
        <w:t xml:space="preserve"> the</w:t>
      </w:r>
      <w:r>
        <w:rPr>
          <w:rFonts w:ascii="Times New Roman" w:hAnsi="Times New Roman" w:cs="Times New Roman"/>
          <w:lang w:val="en-GB"/>
        </w:rPr>
        <w:t xml:space="preserve"> referring judicial proceedings, the claimants seek surrender of possession from the respondents, i.e.  co-owners of property (thing) or vice versa, the respondents </w:t>
      </w:r>
      <w:r w:rsidR="00722B43">
        <w:rPr>
          <w:rFonts w:ascii="Times New Roman" w:hAnsi="Times New Roman" w:cs="Times New Roman"/>
          <w:lang w:val="en-GB"/>
        </w:rPr>
        <w:t xml:space="preserve">have </w:t>
      </w:r>
      <w:r>
        <w:rPr>
          <w:rFonts w:ascii="Times New Roman" w:hAnsi="Times New Roman" w:cs="Times New Roman"/>
          <w:lang w:val="en-GB"/>
        </w:rPr>
        <w:t>take</w:t>
      </w:r>
      <w:r w:rsidR="00722B43">
        <w:rPr>
          <w:rFonts w:ascii="Times New Roman" w:hAnsi="Times New Roman" w:cs="Times New Roman"/>
          <w:lang w:val="en-GB"/>
        </w:rPr>
        <w:t>n</w:t>
      </w:r>
      <w:r>
        <w:rPr>
          <w:rFonts w:ascii="Times New Roman" w:hAnsi="Times New Roman" w:cs="Times New Roman"/>
          <w:lang w:val="en-GB"/>
        </w:rPr>
        <w:t xml:space="preserve"> possession of the claimants’ share in the property and refuse to provide them with co-possession</w:t>
      </w:r>
      <w:r w:rsidR="004717DC" w:rsidRPr="00C961BD">
        <w:rPr>
          <w:rFonts w:ascii="Times New Roman" w:hAnsi="Times New Roman" w:cs="Times New Roman"/>
          <w:lang w:val="en-GB"/>
        </w:rPr>
        <w:t xml:space="preserve">. </w:t>
      </w:r>
      <w:r w:rsidR="0088328B" w:rsidRPr="00C961BD">
        <w:rPr>
          <w:rFonts w:ascii="Times New Roman" w:hAnsi="Times New Roman" w:cs="Times New Roman"/>
          <w:lang w:val="en-GB"/>
        </w:rPr>
        <w:t>T</w:t>
      </w:r>
      <w:r>
        <w:rPr>
          <w:rFonts w:ascii="Times New Roman" w:hAnsi="Times New Roman" w:cs="Times New Roman"/>
          <w:lang w:val="en-GB"/>
        </w:rPr>
        <w:t>he claimants are granted the right to compensation since the</w:t>
      </w:r>
      <w:r w:rsidR="00722B43">
        <w:rPr>
          <w:rFonts w:ascii="Times New Roman" w:hAnsi="Times New Roman" w:cs="Times New Roman"/>
          <w:lang w:val="en-GB"/>
        </w:rPr>
        <w:t xml:space="preserve"> respondents used the property and benefited from it during the time of their possession</w:t>
      </w:r>
      <w:r w:rsidR="0088328B" w:rsidRPr="00C961BD">
        <w:rPr>
          <w:rFonts w:ascii="Times New Roman" w:hAnsi="Times New Roman" w:cs="Times New Roman"/>
          <w:lang w:val="en-GB"/>
        </w:rPr>
        <w:t xml:space="preserve">. </w:t>
      </w:r>
      <w:r w:rsidR="00722B43">
        <w:rPr>
          <w:rFonts w:ascii="Times New Roman" w:hAnsi="Times New Roman" w:cs="Times New Roman"/>
          <w:lang w:val="en-GB"/>
        </w:rPr>
        <w:t>Those cases generally pertain to co-owned (common) real property</w:t>
      </w:r>
      <w:r w:rsidR="0088328B" w:rsidRPr="00C961BD">
        <w:rPr>
          <w:rFonts w:ascii="Times New Roman" w:hAnsi="Times New Roman" w:cs="Times New Roman"/>
          <w:lang w:val="en-GB"/>
        </w:rPr>
        <w:t xml:space="preserve">. </w:t>
      </w:r>
      <w:r w:rsidR="00722B43">
        <w:rPr>
          <w:rFonts w:ascii="Times New Roman" w:hAnsi="Times New Roman" w:cs="Times New Roman"/>
          <w:lang w:val="en-GB"/>
        </w:rPr>
        <w:t xml:space="preserve">Therefore, the court </w:t>
      </w:r>
      <w:r w:rsidR="009575F4">
        <w:rPr>
          <w:rFonts w:ascii="Times New Roman" w:hAnsi="Times New Roman" w:cs="Times New Roman"/>
          <w:lang w:val="en-GB"/>
        </w:rPr>
        <w:t xml:space="preserve">provided the claimants with compensation in the form of </w:t>
      </w:r>
      <w:r w:rsidR="001E1097">
        <w:rPr>
          <w:rFonts w:ascii="Times New Roman" w:hAnsi="Times New Roman" w:cs="Times New Roman"/>
          <w:lang w:val="en-GB"/>
        </w:rPr>
        <w:t xml:space="preserve">forgone </w:t>
      </w:r>
      <w:r w:rsidR="008C4194">
        <w:rPr>
          <w:rFonts w:ascii="Times New Roman" w:hAnsi="Times New Roman" w:cs="Times New Roman"/>
          <w:lang w:val="en-GB"/>
        </w:rPr>
        <w:t>benefits</w:t>
      </w:r>
      <w:r w:rsidR="001E1097">
        <w:rPr>
          <w:rFonts w:ascii="Times New Roman" w:hAnsi="Times New Roman" w:cs="Times New Roman"/>
          <w:lang w:val="en-GB"/>
        </w:rPr>
        <w:t xml:space="preserve"> </w:t>
      </w:r>
      <w:r w:rsidR="0088328B" w:rsidRPr="00C961BD">
        <w:rPr>
          <w:rFonts w:ascii="Times New Roman" w:hAnsi="Times New Roman" w:cs="Times New Roman"/>
          <w:lang w:val="en-GB"/>
        </w:rPr>
        <w:t>(</w:t>
      </w:r>
      <w:r w:rsidR="001E1097">
        <w:rPr>
          <w:rFonts w:ascii="Times New Roman" w:hAnsi="Times New Roman" w:cs="Times New Roman"/>
          <w:lang w:val="en-GB"/>
        </w:rPr>
        <w:t>i.e. rent for using the claimant’s share in the property</w:t>
      </w:r>
      <w:r w:rsidR="00413A44" w:rsidRPr="00C961BD">
        <w:rPr>
          <w:rFonts w:ascii="Times New Roman" w:hAnsi="Times New Roman" w:cs="Times New Roman"/>
          <w:lang w:val="en-GB"/>
        </w:rPr>
        <w:t xml:space="preserve">). </w:t>
      </w:r>
      <w:bookmarkEnd w:id="10"/>
      <w:r w:rsidR="001E1097">
        <w:rPr>
          <w:rFonts w:ascii="Times New Roman" w:hAnsi="Times New Roman" w:cs="Times New Roman"/>
          <w:lang w:val="en-GB"/>
        </w:rPr>
        <w:t>For instance, the Municipal Court in Osijek (sitting in Beli Manastir) adjudicated as follows</w:t>
      </w:r>
      <w:proofErr w:type="gramStart"/>
      <w:r w:rsidR="00413A44" w:rsidRPr="00C961BD">
        <w:rPr>
          <w:rFonts w:ascii="Times New Roman" w:hAnsi="Times New Roman" w:cs="Times New Roman"/>
          <w:lang w:val="en-GB"/>
        </w:rPr>
        <w:t>:</w:t>
      </w:r>
      <w:r w:rsidR="00F42C98">
        <w:rPr>
          <w:rFonts w:ascii="Times New Roman" w:hAnsi="Times New Roman" w:cs="Times New Roman"/>
          <w:lang w:val="en-GB"/>
        </w:rPr>
        <w:t xml:space="preserve"> ’</w:t>
      </w:r>
      <w:proofErr w:type="gramEnd"/>
      <w:r w:rsidR="00F42C98">
        <w:rPr>
          <w:rFonts w:ascii="Times New Roman" w:hAnsi="Times New Roman" w:cs="Times New Roman"/>
          <w:lang w:val="en-GB"/>
        </w:rPr>
        <w:t>’The Court appointed a construction expert witness to conduct expertise to specify the monthly rent for using the respective property during the period covered by the claim and the expert witness came up with the amount of 530.00 EUR</w:t>
      </w:r>
      <w:r w:rsidR="00413A44" w:rsidRPr="00C961BD">
        <w:rPr>
          <w:rFonts w:ascii="Times New Roman" w:hAnsi="Times New Roman" w:cs="Times New Roman"/>
          <w:lang w:val="en-GB"/>
        </w:rPr>
        <w:t>….“</w:t>
      </w:r>
      <w:r w:rsidR="00413A44" w:rsidRPr="00C961BD">
        <w:rPr>
          <w:rStyle w:val="FootnoteReference"/>
          <w:rFonts w:ascii="Times New Roman" w:hAnsi="Times New Roman" w:cs="Times New Roman"/>
          <w:lang w:val="en-GB"/>
        </w:rPr>
        <w:footnoteReference w:id="13"/>
      </w:r>
    </w:p>
    <w:p w14:paraId="27486F5C" w14:textId="33DF87E6" w:rsidR="00F7213E" w:rsidRPr="00C961BD" w:rsidRDefault="00A37C35" w:rsidP="006978A4">
      <w:pPr>
        <w:spacing w:after="0" w:line="360" w:lineRule="auto"/>
        <w:jc w:val="both"/>
        <w:rPr>
          <w:rFonts w:ascii="Times New Roman" w:hAnsi="Times New Roman" w:cs="Times New Roman"/>
          <w:lang w:val="en-GB"/>
        </w:rPr>
      </w:pPr>
      <w:r>
        <w:rPr>
          <w:rFonts w:ascii="Times New Roman" w:hAnsi="Times New Roman" w:cs="Times New Roman"/>
          <w:lang w:val="en-GB"/>
        </w:rPr>
        <w:t xml:space="preserve">As indicated in the standpoint of the SCRC, </w:t>
      </w:r>
      <w:proofErr w:type="gramStart"/>
      <w:r>
        <w:rPr>
          <w:rFonts w:ascii="Times New Roman" w:hAnsi="Times New Roman" w:cs="Times New Roman"/>
          <w:lang w:val="en-GB"/>
        </w:rPr>
        <w:t>making a decision</w:t>
      </w:r>
      <w:proofErr w:type="gramEnd"/>
      <w:r>
        <w:rPr>
          <w:rFonts w:ascii="Times New Roman" w:hAnsi="Times New Roman" w:cs="Times New Roman"/>
          <w:lang w:val="en-GB"/>
        </w:rPr>
        <w:t xml:space="preserve"> on a claim for compensation for</w:t>
      </w:r>
      <w:r w:rsidRPr="00A37C35">
        <w:t xml:space="preserve"> </w:t>
      </w:r>
      <w:r w:rsidRPr="00A37C35">
        <w:rPr>
          <w:rFonts w:ascii="Times New Roman" w:hAnsi="Times New Roman" w:cs="Times New Roman"/>
          <w:lang w:val="en-GB"/>
        </w:rPr>
        <w:t>having used the property or having benefited from it or for all benefits of the possession</w:t>
      </w:r>
      <w:r>
        <w:rPr>
          <w:rFonts w:ascii="Times New Roman" w:hAnsi="Times New Roman" w:cs="Times New Roman"/>
          <w:lang w:val="en-GB"/>
        </w:rPr>
        <w:t xml:space="preserve"> requires determination of </w:t>
      </w:r>
      <w:r w:rsidRPr="00A37C35">
        <w:rPr>
          <w:rFonts w:ascii="Times New Roman" w:hAnsi="Times New Roman" w:cs="Times New Roman"/>
          <w:lang w:val="en-GB"/>
        </w:rPr>
        <w:t>the legal status of the possessor</w:t>
      </w:r>
      <w:r>
        <w:rPr>
          <w:rFonts w:ascii="Times New Roman" w:hAnsi="Times New Roman" w:cs="Times New Roman"/>
          <w:lang w:val="en-GB"/>
        </w:rPr>
        <w:t xml:space="preserve">. </w:t>
      </w:r>
      <w:r w:rsidR="00CC0E03" w:rsidRPr="00CC0E03">
        <w:rPr>
          <w:rFonts w:ascii="Times New Roman" w:hAnsi="Times New Roman" w:cs="Times New Roman"/>
          <w:lang w:val="en-GB"/>
        </w:rPr>
        <w:t>On such an occasion, the claim does not have to include a request for surrender of the property (thing) if the (co</w:t>
      </w:r>
      <w:r w:rsidR="008C4194">
        <w:rPr>
          <w:rFonts w:ascii="Times New Roman" w:hAnsi="Times New Roman" w:cs="Times New Roman"/>
          <w:lang w:val="en-GB"/>
        </w:rPr>
        <w:t>-</w:t>
      </w:r>
      <w:r w:rsidR="00CC0E03" w:rsidRPr="00CC0E03">
        <w:rPr>
          <w:rFonts w:ascii="Times New Roman" w:hAnsi="Times New Roman" w:cs="Times New Roman"/>
          <w:lang w:val="en-GB"/>
        </w:rPr>
        <w:t>)owner has expressed his/her will to possess the property in an appropriate way</w:t>
      </w:r>
      <w:r w:rsidR="00F004B2" w:rsidRPr="00C961BD">
        <w:rPr>
          <w:rFonts w:ascii="Times New Roman" w:hAnsi="Times New Roman" w:cs="Times New Roman"/>
          <w:lang w:val="en-GB"/>
        </w:rPr>
        <w:t>.</w:t>
      </w:r>
      <w:r w:rsidR="00C20000" w:rsidRPr="00C961BD">
        <w:rPr>
          <w:rFonts w:ascii="Times New Roman" w:hAnsi="Times New Roman" w:cs="Times New Roman"/>
          <w:lang w:val="en-GB"/>
        </w:rPr>
        <w:t xml:space="preserve"> </w:t>
      </w:r>
      <w:r w:rsidR="00667F7D">
        <w:rPr>
          <w:rFonts w:ascii="Times New Roman" w:hAnsi="Times New Roman" w:cs="Times New Roman"/>
          <w:lang w:val="en-GB"/>
        </w:rPr>
        <w:t>What is imposed here is the question what means that the (co)-owner’s will shall be expressed in a way convenient to detect an intention to possess property (thing)</w:t>
      </w:r>
      <w:r w:rsidR="00C20000" w:rsidRPr="00C961BD">
        <w:rPr>
          <w:rFonts w:ascii="Times New Roman" w:hAnsi="Times New Roman" w:cs="Times New Roman"/>
          <w:lang w:val="en-GB"/>
        </w:rPr>
        <w:t>?</w:t>
      </w:r>
      <w:r w:rsidR="00633C02" w:rsidRPr="00C961BD">
        <w:rPr>
          <w:rFonts w:ascii="Times New Roman" w:hAnsi="Times New Roman" w:cs="Times New Roman"/>
          <w:lang w:val="en-GB"/>
        </w:rPr>
        <w:t xml:space="preserve"> </w:t>
      </w:r>
      <w:r w:rsidR="00667F7D">
        <w:rPr>
          <w:rFonts w:ascii="Times New Roman" w:hAnsi="Times New Roman" w:cs="Times New Roman"/>
          <w:lang w:val="en-GB"/>
        </w:rPr>
        <w:t>This</w:t>
      </w:r>
      <w:r w:rsidR="00633C02" w:rsidRPr="00C961BD">
        <w:rPr>
          <w:rFonts w:ascii="Times New Roman" w:hAnsi="Times New Roman" w:cs="Times New Roman"/>
          <w:lang w:val="en-GB"/>
        </w:rPr>
        <w:t xml:space="preserve"> </w:t>
      </w:r>
      <w:r w:rsidR="00667F7D">
        <w:rPr>
          <w:rFonts w:ascii="Times New Roman" w:hAnsi="Times New Roman" w:cs="Times New Roman"/>
          <w:lang w:val="en-GB"/>
        </w:rPr>
        <w:t>legal standard</w:t>
      </w:r>
      <w:r w:rsidR="00633C02" w:rsidRPr="00C961BD">
        <w:rPr>
          <w:rStyle w:val="FootnoteReference"/>
          <w:rFonts w:ascii="Times New Roman" w:hAnsi="Times New Roman" w:cs="Times New Roman"/>
          <w:lang w:val="en-GB"/>
        </w:rPr>
        <w:footnoteReference w:id="14"/>
      </w:r>
      <w:r w:rsidR="0026107A" w:rsidRPr="00C961BD">
        <w:rPr>
          <w:rFonts w:ascii="Times New Roman" w:hAnsi="Times New Roman" w:cs="Times New Roman"/>
          <w:lang w:val="en-GB"/>
        </w:rPr>
        <w:t xml:space="preserve"> </w:t>
      </w:r>
      <w:bookmarkStart w:id="11" w:name="_Hlk136975979"/>
      <w:r w:rsidR="00667F7D">
        <w:rPr>
          <w:rFonts w:ascii="Times New Roman" w:hAnsi="Times New Roman" w:cs="Times New Roman"/>
          <w:lang w:val="en-GB"/>
        </w:rPr>
        <w:t xml:space="preserve">is expected to provide the court with the possibility to adapt the legal standards to the needs of </w:t>
      </w:r>
      <w:r w:rsidR="008C4194">
        <w:rPr>
          <w:rFonts w:ascii="Times New Roman" w:hAnsi="Times New Roman" w:cs="Times New Roman"/>
          <w:lang w:val="en-GB"/>
        </w:rPr>
        <w:t>a</w:t>
      </w:r>
      <w:r w:rsidR="00667F7D">
        <w:rPr>
          <w:rFonts w:ascii="Times New Roman" w:hAnsi="Times New Roman" w:cs="Times New Roman"/>
          <w:lang w:val="en-GB"/>
        </w:rPr>
        <w:t xml:space="preserve"> concrete case </w:t>
      </w:r>
      <w:bookmarkEnd w:id="11"/>
      <w:r w:rsidR="00C75121" w:rsidRPr="00C961BD">
        <w:rPr>
          <w:rFonts w:ascii="Times New Roman" w:hAnsi="Times New Roman" w:cs="Times New Roman"/>
          <w:lang w:val="en-GB"/>
        </w:rPr>
        <w:t xml:space="preserve">(Triva, 1978 p. 87).  </w:t>
      </w:r>
      <w:r w:rsidR="00667F7D">
        <w:rPr>
          <w:rFonts w:ascii="Times New Roman" w:hAnsi="Times New Roman" w:cs="Times New Roman"/>
          <w:lang w:val="en-GB"/>
        </w:rPr>
        <w:t>In the above judgement, the Municipal Court in Osijek (sitting in Beli Manastir)</w:t>
      </w:r>
      <w:r w:rsidR="00BF13D3">
        <w:rPr>
          <w:rFonts w:ascii="Times New Roman" w:hAnsi="Times New Roman" w:cs="Times New Roman"/>
          <w:lang w:val="en-GB"/>
        </w:rPr>
        <w:t xml:space="preserve"> established that the claimant required from the respondent to surrender possession of the property on several occasions, but the respondent refused to act accordingly each time</w:t>
      </w:r>
      <w:r w:rsidR="004A5142" w:rsidRPr="00C961BD">
        <w:rPr>
          <w:rFonts w:ascii="Times New Roman" w:hAnsi="Times New Roman" w:cs="Times New Roman"/>
          <w:lang w:val="en-GB"/>
        </w:rPr>
        <w:t xml:space="preserve">. </w:t>
      </w:r>
      <w:r w:rsidR="00BF13D3">
        <w:rPr>
          <w:rFonts w:ascii="Times New Roman" w:hAnsi="Times New Roman" w:cs="Times New Roman"/>
          <w:lang w:val="en-GB"/>
        </w:rPr>
        <w:t>The surrender of possession referred to a request for delivery of the building (real property) keys</w:t>
      </w:r>
      <w:r w:rsidR="00F170A4" w:rsidRPr="00C961BD">
        <w:rPr>
          <w:rFonts w:ascii="Times New Roman" w:hAnsi="Times New Roman" w:cs="Times New Roman"/>
          <w:lang w:val="en-GB"/>
        </w:rPr>
        <w:t xml:space="preserve">. </w:t>
      </w:r>
      <w:r w:rsidR="00BF13D3">
        <w:rPr>
          <w:rFonts w:ascii="Times New Roman" w:hAnsi="Times New Roman" w:cs="Times New Roman"/>
          <w:lang w:val="en-GB"/>
        </w:rPr>
        <w:t xml:space="preserve">In this case, the decisive fact was the respondent’s refusal to provide the claimant with the said keys, adding that she should take them from the lock </w:t>
      </w:r>
      <w:r w:rsidR="00294EED">
        <w:rPr>
          <w:rFonts w:ascii="Times New Roman" w:hAnsi="Times New Roman" w:cs="Times New Roman"/>
          <w:lang w:val="en-GB"/>
        </w:rPr>
        <w:t>herself</w:t>
      </w:r>
      <w:r w:rsidR="004A5142" w:rsidRPr="00C961BD">
        <w:rPr>
          <w:rFonts w:ascii="Times New Roman" w:hAnsi="Times New Roman" w:cs="Times New Roman"/>
          <w:lang w:val="en-GB"/>
        </w:rPr>
        <w:t xml:space="preserve">. </w:t>
      </w:r>
      <w:r w:rsidR="00294EED">
        <w:rPr>
          <w:rFonts w:ascii="Times New Roman" w:hAnsi="Times New Roman" w:cs="Times New Roman"/>
          <w:lang w:val="en-GB"/>
        </w:rPr>
        <w:t xml:space="preserve">The Court deemed such an attitude as the respondent’s rejection of the claimant’s request and thus ordered the respondent to provide the claimant with the </w:t>
      </w:r>
      <w:r w:rsidR="008C4194">
        <w:rPr>
          <w:rFonts w:ascii="Times New Roman" w:hAnsi="Times New Roman" w:cs="Times New Roman"/>
          <w:lang w:val="en-GB"/>
        </w:rPr>
        <w:t xml:space="preserve">aforementioned </w:t>
      </w:r>
      <w:r w:rsidR="00294EED">
        <w:rPr>
          <w:rFonts w:ascii="Times New Roman" w:hAnsi="Times New Roman" w:cs="Times New Roman"/>
          <w:lang w:val="en-GB"/>
        </w:rPr>
        <w:t>compensation</w:t>
      </w:r>
      <w:r w:rsidR="004A5142" w:rsidRPr="00C961BD">
        <w:rPr>
          <w:rFonts w:ascii="Times New Roman" w:hAnsi="Times New Roman" w:cs="Times New Roman"/>
          <w:lang w:val="en-GB"/>
        </w:rPr>
        <w:t xml:space="preserve">. </w:t>
      </w:r>
      <w:r w:rsidR="00294EED">
        <w:rPr>
          <w:rFonts w:ascii="Times New Roman" w:hAnsi="Times New Roman" w:cs="Times New Roman"/>
          <w:lang w:val="en-GB"/>
        </w:rPr>
        <w:t>When deciding on the respondent’s appeal, the County Court in Va</w:t>
      </w:r>
      <w:r w:rsidR="00B857BE">
        <w:rPr>
          <w:rFonts w:ascii="Times New Roman" w:hAnsi="Times New Roman" w:cs="Times New Roman"/>
          <w:lang w:val="en-GB"/>
        </w:rPr>
        <w:t>raždin delivered a judgement</w:t>
      </w:r>
      <w:r w:rsidR="007F2DDF" w:rsidRPr="00C961BD">
        <w:rPr>
          <w:rStyle w:val="FootnoteReference"/>
          <w:rFonts w:ascii="Times New Roman" w:hAnsi="Times New Roman" w:cs="Times New Roman"/>
          <w:lang w:val="en-GB"/>
        </w:rPr>
        <w:footnoteReference w:id="15"/>
      </w:r>
      <w:r w:rsidR="007F2DDF" w:rsidRPr="00C961BD">
        <w:rPr>
          <w:rFonts w:ascii="Times New Roman" w:hAnsi="Times New Roman" w:cs="Times New Roman"/>
          <w:lang w:val="en-GB"/>
        </w:rPr>
        <w:t xml:space="preserve"> </w:t>
      </w:r>
      <w:r w:rsidR="00B857BE">
        <w:rPr>
          <w:rFonts w:ascii="Times New Roman" w:hAnsi="Times New Roman" w:cs="Times New Roman"/>
          <w:lang w:val="en-GB"/>
        </w:rPr>
        <w:t>in which it dismissed the respondent’s appeal and uphold the first instance judgment</w:t>
      </w:r>
      <w:r w:rsidR="007F2DDF" w:rsidRPr="00C961BD">
        <w:rPr>
          <w:rFonts w:ascii="Times New Roman" w:hAnsi="Times New Roman" w:cs="Times New Roman"/>
          <w:lang w:val="en-GB"/>
        </w:rPr>
        <w:t xml:space="preserve">. </w:t>
      </w:r>
      <w:r w:rsidR="00B857BE">
        <w:rPr>
          <w:rFonts w:ascii="Times New Roman" w:hAnsi="Times New Roman" w:cs="Times New Roman"/>
          <w:lang w:val="en-GB"/>
        </w:rPr>
        <w:t xml:space="preserve">The reasoning suggests that the first instance court was right when it found that the claimant </w:t>
      </w:r>
      <w:r w:rsidR="008C4194">
        <w:rPr>
          <w:rFonts w:ascii="Times New Roman" w:hAnsi="Times New Roman" w:cs="Times New Roman"/>
          <w:lang w:val="en-GB"/>
        </w:rPr>
        <w:t>had been</w:t>
      </w:r>
      <w:r w:rsidR="00B857BE">
        <w:rPr>
          <w:rFonts w:ascii="Times New Roman" w:hAnsi="Times New Roman" w:cs="Times New Roman"/>
          <w:lang w:val="en-GB"/>
        </w:rPr>
        <w:t xml:space="preserve"> prevented </w:t>
      </w:r>
      <w:r w:rsidR="008C4194">
        <w:rPr>
          <w:rFonts w:ascii="Times New Roman" w:hAnsi="Times New Roman" w:cs="Times New Roman"/>
          <w:lang w:val="en-GB"/>
        </w:rPr>
        <w:t>from</w:t>
      </w:r>
      <w:r w:rsidR="00B857BE">
        <w:rPr>
          <w:rFonts w:ascii="Times New Roman" w:hAnsi="Times New Roman" w:cs="Times New Roman"/>
          <w:lang w:val="en-GB"/>
        </w:rPr>
        <w:t xml:space="preserve"> com</w:t>
      </w:r>
      <w:r w:rsidR="008C4194">
        <w:rPr>
          <w:rFonts w:ascii="Times New Roman" w:hAnsi="Times New Roman" w:cs="Times New Roman"/>
          <w:lang w:val="en-GB"/>
        </w:rPr>
        <w:t>ing</w:t>
      </w:r>
      <w:r w:rsidR="00B857BE">
        <w:rPr>
          <w:rFonts w:ascii="Times New Roman" w:hAnsi="Times New Roman" w:cs="Times New Roman"/>
          <w:lang w:val="en-GB"/>
        </w:rPr>
        <w:t xml:space="preserve"> into possession of her part of the real property</w:t>
      </w:r>
      <w:r w:rsidR="0098273D" w:rsidRPr="00C961BD">
        <w:rPr>
          <w:rFonts w:ascii="Times New Roman" w:hAnsi="Times New Roman" w:cs="Times New Roman"/>
          <w:lang w:val="en-GB"/>
        </w:rPr>
        <w:t>.</w:t>
      </w:r>
    </w:p>
    <w:p w14:paraId="6B1E9021" w14:textId="3C64CECA" w:rsidR="00D855C5" w:rsidRPr="00C961BD" w:rsidRDefault="00DE4FD3" w:rsidP="006978A4">
      <w:pPr>
        <w:spacing w:after="0" w:line="360" w:lineRule="auto"/>
        <w:jc w:val="both"/>
        <w:rPr>
          <w:rFonts w:ascii="Times New Roman" w:hAnsi="Times New Roman" w:cs="Times New Roman"/>
          <w:lang w:val="en-GB"/>
        </w:rPr>
      </w:pPr>
      <w:r w:rsidRPr="00DE4FD3">
        <w:rPr>
          <w:rFonts w:ascii="Times New Roman" w:hAnsi="Times New Roman" w:cs="Times New Roman"/>
          <w:lang w:val="en-GB"/>
        </w:rPr>
        <w:lastRenderedPageBreak/>
        <w:t>Similar legal positions can be found in the reasoning of the SCRC itself: Rev-834/87</w:t>
      </w:r>
      <w:proofErr w:type="gramStart"/>
      <w:r w:rsidRPr="00DE4FD3">
        <w:rPr>
          <w:rFonts w:ascii="Times New Roman" w:hAnsi="Times New Roman" w:cs="Times New Roman"/>
          <w:lang w:val="en-GB"/>
        </w:rPr>
        <w:t>: ’</w:t>
      </w:r>
      <w:proofErr w:type="gramEnd"/>
      <w:r w:rsidRPr="00DE4FD3">
        <w:rPr>
          <w:rFonts w:ascii="Times New Roman" w:hAnsi="Times New Roman" w:cs="Times New Roman"/>
          <w:lang w:val="en-GB"/>
        </w:rPr>
        <w:t>’If there is no agreement between co-owners on the manner of possession of common property whereat one or more co-owners have taken possession thereof to the extent disproportional to their fractional interests, other co-owners shall be entitled to compensation for foregone benefits.’’ Rev-1419/98</w:t>
      </w:r>
      <w:proofErr w:type="gramStart"/>
      <w:r w:rsidRPr="00DE4FD3">
        <w:rPr>
          <w:rFonts w:ascii="Times New Roman" w:hAnsi="Times New Roman" w:cs="Times New Roman"/>
          <w:lang w:val="en-GB"/>
        </w:rPr>
        <w:t>: ’</w:t>
      </w:r>
      <w:proofErr w:type="gramEnd"/>
      <w:r w:rsidRPr="00DE4FD3">
        <w:rPr>
          <w:rFonts w:ascii="Times New Roman" w:hAnsi="Times New Roman" w:cs="Times New Roman"/>
          <w:lang w:val="en-GB"/>
        </w:rPr>
        <w:t>’The Court holds that one spouse obtained financial advantage wrongfully by using the other spouse’s co-ownership share in the property</w:t>
      </w:r>
      <w:r w:rsidR="009A7993" w:rsidRPr="00C961BD">
        <w:rPr>
          <w:rStyle w:val="FootnoteReference"/>
          <w:rFonts w:ascii="Times New Roman" w:hAnsi="Times New Roman" w:cs="Times New Roman"/>
          <w:lang w:val="en-GB"/>
        </w:rPr>
        <w:footnoteReference w:id="16"/>
      </w:r>
      <w:r w:rsidR="00684D6F" w:rsidRPr="00C961BD">
        <w:rPr>
          <w:rFonts w:ascii="Times New Roman" w:hAnsi="Times New Roman" w:cs="Times New Roman"/>
          <w:vertAlign w:val="superscript"/>
          <w:lang w:val="en-GB"/>
        </w:rPr>
        <w:t>,</w:t>
      </w:r>
      <w:r w:rsidR="00684D6F" w:rsidRPr="00C961BD">
        <w:rPr>
          <w:rFonts w:ascii="Times New Roman" w:hAnsi="Times New Roman" w:cs="Times New Roman"/>
          <w:lang w:val="en-GB"/>
        </w:rPr>
        <w:t xml:space="preserve"> </w:t>
      </w:r>
      <w:r w:rsidR="00684D6F" w:rsidRPr="00C961BD">
        <w:rPr>
          <w:rStyle w:val="FootnoteReference"/>
          <w:rFonts w:ascii="Times New Roman" w:hAnsi="Times New Roman" w:cs="Times New Roman"/>
          <w:lang w:val="en-GB"/>
        </w:rPr>
        <w:footnoteReference w:id="17"/>
      </w:r>
      <w:r>
        <w:rPr>
          <w:rFonts w:ascii="Times New Roman" w:hAnsi="Times New Roman" w:cs="Times New Roman"/>
          <w:lang w:val="en-GB"/>
        </w:rPr>
        <w:t>.</w:t>
      </w:r>
      <w:r w:rsidR="00417FD6" w:rsidRPr="00C961BD">
        <w:rPr>
          <w:rFonts w:ascii="Times New Roman" w:hAnsi="Times New Roman" w:cs="Times New Roman"/>
          <w:lang w:val="en-GB"/>
        </w:rPr>
        <w:t xml:space="preserve"> </w:t>
      </w:r>
      <w:r w:rsidRPr="00DE4FD3">
        <w:rPr>
          <w:rFonts w:ascii="Times New Roman" w:hAnsi="Times New Roman" w:cs="Times New Roman"/>
          <w:lang w:val="en-GB"/>
        </w:rPr>
        <w:t>The wrongly obtained advantage relates to the rental for the respective part of the property.’’ Rev-1786/88</w:t>
      </w:r>
      <w:proofErr w:type="gramStart"/>
      <w:r w:rsidRPr="00DE4FD3">
        <w:rPr>
          <w:rFonts w:ascii="Times New Roman" w:hAnsi="Times New Roman" w:cs="Times New Roman"/>
          <w:lang w:val="en-GB"/>
        </w:rPr>
        <w:t>: ’</w:t>
      </w:r>
      <w:proofErr w:type="gramEnd"/>
      <w:r w:rsidRPr="00DE4FD3">
        <w:rPr>
          <w:rFonts w:ascii="Times New Roman" w:hAnsi="Times New Roman" w:cs="Times New Roman"/>
          <w:lang w:val="en-GB"/>
        </w:rPr>
        <w:t>’The co-owner who took advantage of the other co-owner’s share in the property without providing compensation to the latter in the form of due rent, shall provide the latter with nominal rental fee for the period of wrongful property occupation.’’</w:t>
      </w:r>
      <w:r w:rsidR="00417FD6" w:rsidRPr="00C961BD">
        <w:rPr>
          <w:rStyle w:val="FootnoteReference"/>
          <w:rFonts w:ascii="Times New Roman" w:hAnsi="Times New Roman" w:cs="Times New Roman"/>
          <w:lang w:val="en-GB"/>
        </w:rPr>
        <w:footnoteReference w:id="18"/>
      </w:r>
    </w:p>
    <w:p w14:paraId="767B8E47" w14:textId="5F575608" w:rsidR="00BE3CC1" w:rsidRPr="00C961BD" w:rsidRDefault="00DE4FD3" w:rsidP="006978A4">
      <w:pPr>
        <w:spacing w:after="0" w:line="360" w:lineRule="auto"/>
        <w:jc w:val="both"/>
        <w:rPr>
          <w:rFonts w:ascii="Times New Roman" w:hAnsi="Times New Roman" w:cs="Times New Roman"/>
          <w:lang w:val="en-GB"/>
        </w:rPr>
      </w:pPr>
      <w:r w:rsidRPr="00DE4FD3">
        <w:rPr>
          <w:rFonts w:ascii="Times New Roman" w:hAnsi="Times New Roman" w:cs="Times New Roman"/>
          <w:lang w:val="en-GB"/>
        </w:rPr>
        <w:t>Based on the judicial proceedings which preceded the judicial review</w:t>
      </w:r>
      <w:r w:rsidR="008C4194">
        <w:rPr>
          <w:rFonts w:ascii="Times New Roman" w:hAnsi="Times New Roman" w:cs="Times New Roman"/>
          <w:lang w:val="en-GB"/>
        </w:rPr>
        <w:t xml:space="preserve"> (second appeal)</w:t>
      </w:r>
      <w:r w:rsidRPr="00DE4FD3">
        <w:rPr>
          <w:rFonts w:ascii="Times New Roman" w:hAnsi="Times New Roman" w:cs="Times New Roman"/>
          <w:lang w:val="en-GB"/>
        </w:rPr>
        <w:t xml:space="preserve">, the SCRC concluded that the parties resided together in the respective property for some time during which the claimant occasionally went to Germany and used to stay there for a while.  Still, the claimant had not been prevented </w:t>
      </w:r>
      <w:r w:rsidR="00CB2A41">
        <w:rPr>
          <w:rFonts w:ascii="Times New Roman" w:hAnsi="Times New Roman" w:cs="Times New Roman"/>
          <w:lang w:val="en-GB"/>
        </w:rPr>
        <w:t>from</w:t>
      </w:r>
      <w:r w:rsidRPr="00DE4FD3">
        <w:rPr>
          <w:rFonts w:ascii="Times New Roman" w:hAnsi="Times New Roman" w:cs="Times New Roman"/>
          <w:lang w:val="en-GB"/>
        </w:rPr>
        <w:t xml:space="preserve"> co-possess</w:t>
      </w:r>
      <w:r w:rsidR="00CB2A41">
        <w:rPr>
          <w:rFonts w:ascii="Times New Roman" w:hAnsi="Times New Roman" w:cs="Times New Roman"/>
          <w:lang w:val="en-GB"/>
        </w:rPr>
        <w:t>ing</w:t>
      </w:r>
      <w:r w:rsidRPr="00DE4FD3">
        <w:rPr>
          <w:rFonts w:ascii="Times New Roman" w:hAnsi="Times New Roman" w:cs="Times New Roman"/>
          <w:lang w:val="en-GB"/>
        </w:rPr>
        <w:t xml:space="preserve"> the property until 1999 when the marital relations were disturbed, after which (2000) the respondent changed the front door and thus prevented the claimant </w:t>
      </w:r>
      <w:r w:rsidR="00E37CA1">
        <w:rPr>
          <w:rFonts w:ascii="Times New Roman" w:hAnsi="Times New Roman" w:cs="Times New Roman"/>
          <w:lang w:val="en-GB"/>
        </w:rPr>
        <w:t>from</w:t>
      </w:r>
      <w:r w:rsidRPr="00DE4FD3">
        <w:rPr>
          <w:rFonts w:ascii="Times New Roman" w:hAnsi="Times New Roman" w:cs="Times New Roman"/>
          <w:lang w:val="en-GB"/>
        </w:rPr>
        <w:t xml:space="preserve"> us</w:t>
      </w:r>
      <w:r w:rsidR="00E37CA1">
        <w:rPr>
          <w:rFonts w:ascii="Times New Roman" w:hAnsi="Times New Roman" w:cs="Times New Roman"/>
          <w:lang w:val="en-GB"/>
        </w:rPr>
        <w:t>ing</w:t>
      </w:r>
      <w:r w:rsidRPr="00DE4FD3">
        <w:rPr>
          <w:rFonts w:ascii="Times New Roman" w:hAnsi="Times New Roman" w:cs="Times New Roman"/>
          <w:lang w:val="en-GB"/>
        </w:rPr>
        <w:t xml:space="preserve"> the property. Through the use of the claimant’s share in their common property between 2002 and 2015, the respondent obtained financial advantage which can be expressed in the form of rental fee for the period of property occupation. The due rental fee was specified by an expert witness</w:t>
      </w:r>
      <w:r w:rsidR="00332FFB" w:rsidRPr="00C961BD">
        <w:rPr>
          <w:rFonts w:ascii="Times New Roman" w:hAnsi="Times New Roman" w:cs="Times New Roman"/>
          <w:lang w:val="en-GB"/>
        </w:rPr>
        <w:t>.</w:t>
      </w:r>
      <w:r w:rsidR="00332FFB" w:rsidRPr="00C961BD">
        <w:rPr>
          <w:rStyle w:val="FootnoteReference"/>
          <w:rFonts w:ascii="Times New Roman" w:hAnsi="Times New Roman" w:cs="Times New Roman"/>
          <w:lang w:val="en-GB"/>
        </w:rPr>
        <w:footnoteReference w:id="19"/>
      </w:r>
      <w:r w:rsidR="00D855C5" w:rsidRPr="00C961BD">
        <w:rPr>
          <w:rFonts w:ascii="Times New Roman" w:hAnsi="Times New Roman" w:cs="Times New Roman"/>
          <w:lang w:val="en-GB"/>
        </w:rPr>
        <w:t xml:space="preserve"> </w:t>
      </w:r>
    </w:p>
    <w:p w14:paraId="0F5BEBEF" w14:textId="4E95D0A1" w:rsidR="00DA1DF4" w:rsidRPr="00C961BD" w:rsidRDefault="009E5B99" w:rsidP="006978A4">
      <w:pPr>
        <w:spacing w:after="0" w:line="360" w:lineRule="auto"/>
        <w:jc w:val="both"/>
        <w:rPr>
          <w:rFonts w:ascii="Times New Roman" w:hAnsi="Times New Roman" w:cs="Times New Roman"/>
          <w:lang w:val="en-GB"/>
        </w:rPr>
      </w:pPr>
      <w:r>
        <w:rPr>
          <w:rFonts w:ascii="Times New Roman" w:hAnsi="Times New Roman" w:cs="Times New Roman"/>
          <w:lang w:val="en-GB"/>
        </w:rPr>
        <w:t xml:space="preserve">Based on </w:t>
      </w:r>
      <w:r w:rsidR="007478D0">
        <w:rPr>
          <w:rFonts w:ascii="Times New Roman" w:hAnsi="Times New Roman" w:cs="Times New Roman"/>
          <w:lang w:val="en-GB"/>
        </w:rPr>
        <w:t xml:space="preserve">the pertaining provisions of </w:t>
      </w:r>
      <w:r>
        <w:rPr>
          <w:rFonts w:ascii="Times New Roman" w:hAnsi="Times New Roman" w:cs="Times New Roman"/>
          <w:lang w:val="en-GB"/>
        </w:rPr>
        <w:t>substantive law</w:t>
      </w:r>
      <w:r w:rsidR="007478D0">
        <w:rPr>
          <w:rFonts w:ascii="Times New Roman" w:hAnsi="Times New Roman" w:cs="Times New Roman"/>
          <w:lang w:val="en-GB"/>
        </w:rPr>
        <w:t>, the AOOPR envisages the exercise of ownership rights on the whole property (thing, object</w:t>
      </w:r>
      <w:r w:rsidR="007478D0">
        <w:rPr>
          <w:rFonts w:ascii="Times New Roman" w:hAnsi="Times New Roman" w:cs="Times New Roman"/>
          <w:lang w:val="en-US"/>
        </w:rPr>
        <w:t>). Furthermore, the same act stipulates that every co-owner may, if not regulated otherwise, exercise all of his/her powers granted to him/her as the holder of part of ownership rights without consent of other co-owners if such exercise does not violate the rights of other co-</w:t>
      </w:r>
      <w:r w:rsidR="007478D0">
        <w:rPr>
          <w:rFonts w:ascii="Times New Roman" w:hAnsi="Times New Roman" w:cs="Times New Roman"/>
          <w:lang w:val="en-US"/>
        </w:rPr>
        <w:lastRenderedPageBreak/>
        <w:t>owners</w:t>
      </w:r>
      <w:r w:rsidR="00FE35A2" w:rsidRPr="00C961BD">
        <w:rPr>
          <w:rFonts w:ascii="Times New Roman" w:hAnsi="Times New Roman" w:cs="Times New Roman"/>
          <w:lang w:val="en-GB"/>
        </w:rPr>
        <w:t>.</w:t>
      </w:r>
      <w:r w:rsidR="00DA1DF4" w:rsidRPr="00C961BD">
        <w:rPr>
          <w:rFonts w:ascii="Times New Roman" w:hAnsi="Times New Roman" w:cs="Times New Roman"/>
          <w:lang w:val="en-GB"/>
        </w:rPr>
        <w:t xml:space="preserve"> </w:t>
      </w:r>
      <w:r w:rsidR="007478D0">
        <w:rPr>
          <w:rFonts w:ascii="Times New Roman" w:hAnsi="Times New Roman" w:cs="Times New Roman"/>
          <w:lang w:val="en-GB"/>
        </w:rPr>
        <w:t>Yields and other benefits related to the use of the whole property as well as relating costs and burdens shall be</w:t>
      </w:r>
      <w:r w:rsidR="002347A5">
        <w:rPr>
          <w:rFonts w:ascii="Times New Roman" w:hAnsi="Times New Roman" w:cs="Times New Roman"/>
          <w:lang w:val="en-GB"/>
        </w:rPr>
        <w:t>, if not agreed otherwise,</w:t>
      </w:r>
      <w:r w:rsidR="007478D0">
        <w:rPr>
          <w:rFonts w:ascii="Times New Roman" w:hAnsi="Times New Roman" w:cs="Times New Roman"/>
          <w:lang w:val="en-GB"/>
        </w:rPr>
        <w:t xml:space="preserve"> distributed among co-owners in compliance with the</w:t>
      </w:r>
      <w:r w:rsidR="002347A5">
        <w:rPr>
          <w:rFonts w:ascii="Times New Roman" w:hAnsi="Times New Roman" w:cs="Times New Roman"/>
          <w:lang w:val="en-GB"/>
        </w:rPr>
        <w:t xml:space="preserve"> size of their fractional interests</w:t>
      </w:r>
      <w:r w:rsidR="00FE35A2" w:rsidRPr="00C961BD">
        <w:rPr>
          <w:rFonts w:ascii="Times New Roman" w:hAnsi="Times New Roman" w:cs="Times New Roman"/>
          <w:lang w:val="en-GB"/>
        </w:rPr>
        <w:t>.</w:t>
      </w:r>
      <w:r w:rsidR="00DA1DF4" w:rsidRPr="00C961BD">
        <w:rPr>
          <w:rFonts w:ascii="Times New Roman" w:hAnsi="Times New Roman" w:cs="Times New Roman"/>
          <w:lang w:val="en-GB"/>
        </w:rPr>
        <w:t xml:space="preserve"> </w:t>
      </w:r>
      <w:r w:rsidR="002347A5">
        <w:rPr>
          <w:rFonts w:ascii="Times New Roman" w:hAnsi="Times New Roman" w:cs="Times New Roman"/>
          <w:lang w:val="en-GB"/>
        </w:rPr>
        <w:t>Every co-owner has the right to demand clearance</w:t>
      </w:r>
      <w:r w:rsidR="00F0496D">
        <w:rPr>
          <w:rFonts w:ascii="Times New Roman" w:hAnsi="Times New Roman" w:cs="Times New Roman"/>
          <w:lang w:val="en-GB"/>
        </w:rPr>
        <w:t xml:space="preserve"> of the accounts and distribution of all benefits</w:t>
      </w:r>
      <w:r w:rsidR="00FE35A2" w:rsidRPr="00C961BD">
        <w:rPr>
          <w:rFonts w:ascii="Times New Roman" w:hAnsi="Times New Roman" w:cs="Times New Roman"/>
          <w:lang w:val="en-GB"/>
        </w:rPr>
        <w:t>.</w:t>
      </w:r>
      <w:r w:rsidR="00DA1DF4" w:rsidRPr="00C961BD">
        <w:rPr>
          <w:rStyle w:val="FootnoteReference"/>
          <w:rFonts w:ascii="Times New Roman" w:hAnsi="Times New Roman" w:cs="Times New Roman"/>
          <w:lang w:val="en-GB"/>
        </w:rPr>
        <w:footnoteReference w:id="20"/>
      </w:r>
    </w:p>
    <w:p w14:paraId="70CF8912" w14:textId="0F1AED9C" w:rsidR="00DA1DF4" w:rsidRPr="00C961BD" w:rsidRDefault="00F0496D" w:rsidP="006978A4">
      <w:pPr>
        <w:spacing w:after="0" w:line="360" w:lineRule="auto"/>
        <w:jc w:val="both"/>
        <w:rPr>
          <w:rFonts w:ascii="Times New Roman" w:hAnsi="Times New Roman" w:cs="Times New Roman"/>
          <w:lang w:val="en-GB"/>
        </w:rPr>
      </w:pPr>
      <w:r>
        <w:rPr>
          <w:rFonts w:ascii="Times New Roman" w:hAnsi="Times New Roman" w:cs="Times New Roman"/>
          <w:lang w:val="en-GB"/>
        </w:rPr>
        <w:t>The use of other people’s property (thing, object) is governed by Article 1120 of the Civil Obligations Act, setting out that if someone</w:t>
      </w:r>
      <w:r w:rsidRPr="00F0496D">
        <w:rPr>
          <w:rFonts w:ascii="Times New Roman" w:hAnsi="Times New Roman" w:cs="Times New Roman"/>
          <w:lang w:val="en-GB"/>
        </w:rPr>
        <w:t xml:space="preserve"> has used another person’s thing for his own benefit, the owner may, irrespective of </w:t>
      </w:r>
      <w:r>
        <w:rPr>
          <w:rFonts w:ascii="Times New Roman" w:hAnsi="Times New Roman" w:cs="Times New Roman"/>
          <w:lang w:val="en-GB"/>
        </w:rPr>
        <w:t>the</w:t>
      </w:r>
      <w:r w:rsidRPr="00F0496D">
        <w:rPr>
          <w:rFonts w:ascii="Times New Roman" w:hAnsi="Times New Roman" w:cs="Times New Roman"/>
          <w:lang w:val="en-GB"/>
        </w:rPr>
        <w:t xml:space="preserve"> right to compensation for damage, or in its absence, request from the former to compensate for the benefit conferred from </w:t>
      </w:r>
      <w:r>
        <w:rPr>
          <w:rFonts w:ascii="Times New Roman" w:hAnsi="Times New Roman" w:cs="Times New Roman"/>
          <w:lang w:val="en-GB"/>
        </w:rPr>
        <w:t xml:space="preserve">the </w:t>
      </w:r>
      <w:r w:rsidRPr="00F0496D">
        <w:rPr>
          <w:rFonts w:ascii="Times New Roman" w:hAnsi="Times New Roman" w:cs="Times New Roman"/>
          <w:lang w:val="en-GB"/>
        </w:rPr>
        <w:t>use of the thing</w:t>
      </w:r>
      <w:r w:rsidR="00DA1DF4" w:rsidRPr="00C961BD">
        <w:rPr>
          <w:rFonts w:ascii="Times New Roman" w:hAnsi="Times New Roman" w:cs="Times New Roman"/>
          <w:lang w:val="en-GB"/>
        </w:rPr>
        <w:t>.</w:t>
      </w:r>
    </w:p>
    <w:p w14:paraId="4D4AAA0C" w14:textId="56B70523" w:rsidR="00F44833" w:rsidRPr="00C961BD" w:rsidRDefault="00F44833" w:rsidP="00F44833">
      <w:pPr>
        <w:spacing w:after="0" w:line="360" w:lineRule="auto"/>
        <w:ind w:firstLine="357"/>
        <w:jc w:val="both"/>
        <w:rPr>
          <w:rFonts w:ascii="Times New Roman" w:hAnsi="Times New Roman" w:cs="Times New Roman"/>
          <w:lang w:val="en-GB"/>
        </w:rPr>
      </w:pPr>
    </w:p>
    <w:p w14:paraId="3C0B884B" w14:textId="3A5BB1BF" w:rsidR="00D01DE2" w:rsidRPr="00C961BD" w:rsidRDefault="00D459D9" w:rsidP="005702B8">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 </w:t>
      </w:r>
    </w:p>
    <w:p w14:paraId="6207AF78" w14:textId="56E1ECA8" w:rsidR="00F004B2" w:rsidRPr="00C961BD" w:rsidRDefault="00180921" w:rsidP="00180921">
      <w:pPr>
        <w:spacing w:after="0" w:line="360" w:lineRule="auto"/>
        <w:jc w:val="both"/>
        <w:rPr>
          <w:rFonts w:ascii="Times New Roman" w:hAnsi="Times New Roman" w:cs="Times New Roman"/>
          <w:b/>
          <w:lang w:val="en-GB"/>
        </w:rPr>
      </w:pPr>
      <w:r w:rsidRPr="00C961BD">
        <w:rPr>
          <w:rFonts w:ascii="Times New Roman" w:hAnsi="Times New Roman" w:cs="Times New Roman"/>
          <w:b/>
          <w:lang w:val="en-GB"/>
        </w:rPr>
        <w:t xml:space="preserve">4.  </w:t>
      </w:r>
      <w:r w:rsidR="005866AD">
        <w:rPr>
          <w:rFonts w:ascii="Times New Roman" w:hAnsi="Times New Roman" w:cs="Times New Roman"/>
          <w:b/>
          <w:lang w:val="en-GB"/>
        </w:rPr>
        <w:t>SURRENDER OF PROPERTY (THING, OBJECT) POSSESSION</w:t>
      </w:r>
    </w:p>
    <w:p w14:paraId="12286667" w14:textId="77777777" w:rsidR="005702B8" w:rsidRPr="00C961BD" w:rsidRDefault="005702B8" w:rsidP="005702B8">
      <w:pPr>
        <w:pStyle w:val="ListParagraph"/>
        <w:spacing w:after="0" w:line="360" w:lineRule="auto"/>
        <w:jc w:val="both"/>
        <w:rPr>
          <w:rFonts w:ascii="Times New Roman" w:hAnsi="Times New Roman" w:cs="Times New Roman"/>
          <w:b/>
          <w:lang w:val="en-GB"/>
        </w:rPr>
      </w:pPr>
    </w:p>
    <w:p w14:paraId="467F5899" w14:textId="3BE6056B" w:rsidR="005F569A" w:rsidRPr="00C961BD" w:rsidRDefault="005866AD" w:rsidP="0081488A">
      <w:pPr>
        <w:spacing w:after="0" w:line="360" w:lineRule="auto"/>
        <w:jc w:val="both"/>
        <w:rPr>
          <w:rFonts w:ascii="Times New Roman" w:hAnsi="Times New Roman" w:cs="Times New Roman"/>
          <w:lang w:val="en-GB"/>
        </w:rPr>
      </w:pPr>
      <w:r>
        <w:rPr>
          <w:rFonts w:ascii="Times New Roman" w:hAnsi="Times New Roman" w:cs="Times New Roman"/>
          <w:lang w:val="en-GB"/>
        </w:rPr>
        <w:t xml:space="preserve">As disclosed in the </w:t>
      </w:r>
      <w:r w:rsidR="005C5959">
        <w:rPr>
          <w:rFonts w:ascii="Times New Roman" w:hAnsi="Times New Roman" w:cs="Times New Roman"/>
          <w:lang w:val="en-GB"/>
        </w:rPr>
        <w:t>aforementioned cases, the case-law depends on the manner in which surrender of possession was requested and performed</w:t>
      </w:r>
      <w:r w:rsidR="0014395F" w:rsidRPr="00C961BD">
        <w:rPr>
          <w:rFonts w:ascii="Times New Roman" w:hAnsi="Times New Roman" w:cs="Times New Roman"/>
          <w:lang w:val="en-GB"/>
        </w:rPr>
        <w:t xml:space="preserve">. </w:t>
      </w:r>
      <w:r w:rsidR="005C5959">
        <w:rPr>
          <w:rFonts w:ascii="Times New Roman" w:hAnsi="Times New Roman" w:cs="Times New Roman"/>
          <w:lang w:val="en-GB"/>
        </w:rPr>
        <w:t>In this context, the proprietary law doctrine stipulates that a person shall come into direct possession of property through physical (traditional) surrender and into indirect possession of property through expression of his/her will</w:t>
      </w:r>
      <w:r w:rsidR="000B5F46" w:rsidRPr="00C961BD">
        <w:rPr>
          <w:rFonts w:ascii="Times New Roman" w:hAnsi="Times New Roman" w:cs="Times New Roman"/>
          <w:lang w:val="en-GB"/>
        </w:rPr>
        <w:t>.</w:t>
      </w:r>
      <w:r w:rsidR="000B5F46" w:rsidRPr="00C961BD">
        <w:rPr>
          <w:rStyle w:val="FootnoteReference"/>
          <w:rFonts w:ascii="Times New Roman" w:hAnsi="Times New Roman" w:cs="Times New Roman"/>
          <w:lang w:val="en-GB"/>
        </w:rPr>
        <w:footnoteReference w:id="21"/>
      </w:r>
      <w:r w:rsidR="005F569A" w:rsidRPr="00C961BD">
        <w:rPr>
          <w:rFonts w:ascii="Times New Roman" w:hAnsi="Times New Roman" w:cs="Times New Roman"/>
          <w:lang w:val="en-GB"/>
        </w:rPr>
        <w:t xml:space="preserve"> </w:t>
      </w:r>
      <w:r w:rsidR="004059F2">
        <w:rPr>
          <w:rFonts w:ascii="Times New Roman" w:hAnsi="Times New Roman" w:cs="Times New Roman"/>
          <w:lang w:val="en-GB"/>
        </w:rPr>
        <w:t>Direct surrender does not entail transfer of property if the acquirer is not in position to exercise his/her de facto power over the property</w:t>
      </w:r>
      <w:r w:rsidR="005F569A" w:rsidRPr="00C961BD">
        <w:rPr>
          <w:rFonts w:ascii="Times New Roman" w:hAnsi="Times New Roman" w:cs="Times New Roman"/>
          <w:lang w:val="en-GB"/>
        </w:rPr>
        <w:t>.</w:t>
      </w:r>
      <w:r w:rsidR="005F569A" w:rsidRPr="00C961BD">
        <w:rPr>
          <w:rStyle w:val="FootnoteReference"/>
          <w:rFonts w:ascii="Times New Roman" w:hAnsi="Times New Roman" w:cs="Times New Roman"/>
          <w:lang w:val="en-GB"/>
        </w:rPr>
        <w:footnoteReference w:id="22"/>
      </w:r>
      <w:r w:rsidR="005F569A" w:rsidRPr="00C961BD">
        <w:rPr>
          <w:rFonts w:ascii="Times New Roman" w:hAnsi="Times New Roman" w:cs="Times New Roman"/>
          <w:lang w:val="en-GB"/>
        </w:rPr>
        <w:t xml:space="preserve"> </w:t>
      </w:r>
      <w:r w:rsidR="004059F2">
        <w:rPr>
          <w:rFonts w:ascii="Times New Roman" w:hAnsi="Times New Roman" w:cs="Times New Roman"/>
          <w:lang w:val="en-GB"/>
        </w:rPr>
        <w:t xml:space="preserve">In real life, direct surrender does not mean bringing the acquiring </w:t>
      </w:r>
      <w:r w:rsidR="00B70A02">
        <w:rPr>
          <w:rFonts w:ascii="Times New Roman" w:hAnsi="Times New Roman" w:cs="Times New Roman"/>
          <w:lang w:val="en-GB"/>
        </w:rPr>
        <w:t>in</w:t>
      </w:r>
      <w:r w:rsidR="004059F2">
        <w:rPr>
          <w:rFonts w:ascii="Times New Roman" w:hAnsi="Times New Roman" w:cs="Times New Roman"/>
          <w:lang w:val="en-GB"/>
        </w:rPr>
        <w:t>to</w:t>
      </w:r>
      <w:r w:rsidR="00B70A02">
        <w:rPr>
          <w:rFonts w:ascii="Times New Roman" w:hAnsi="Times New Roman" w:cs="Times New Roman"/>
          <w:lang w:val="en-GB"/>
        </w:rPr>
        <w:t xml:space="preserve"> the property but handing over instruments for controlling the property possession, e.g. front door keys</w:t>
      </w:r>
      <w:r w:rsidR="005F569A" w:rsidRPr="00C961BD">
        <w:rPr>
          <w:rFonts w:ascii="Times New Roman" w:hAnsi="Times New Roman" w:cs="Times New Roman"/>
          <w:lang w:val="en-GB"/>
        </w:rPr>
        <w:t>.</w:t>
      </w:r>
    </w:p>
    <w:p w14:paraId="4EAE2BFB" w14:textId="49A1772C" w:rsidR="005F569A" w:rsidRPr="00C961BD" w:rsidRDefault="00B70A02" w:rsidP="00343F8D">
      <w:pPr>
        <w:spacing w:after="0" w:line="360" w:lineRule="auto"/>
        <w:jc w:val="both"/>
        <w:rPr>
          <w:rFonts w:ascii="Times New Roman" w:hAnsi="Times New Roman" w:cs="Times New Roman"/>
          <w:lang w:val="en-GB"/>
        </w:rPr>
      </w:pPr>
      <w:r>
        <w:rPr>
          <w:rFonts w:ascii="Times New Roman" w:hAnsi="Times New Roman" w:cs="Times New Roman"/>
          <w:lang w:val="en-GB"/>
        </w:rPr>
        <w:t>Transfer of property possession takes place when the instruments for controlling the property possession are handed over to the acquirer</w:t>
      </w:r>
      <w:r w:rsidR="009728B3" w:rsidRPr="00C961BD">
        <w:rPr>
          <w:rFonts w:ascii="Times New Roman" w:hAnsi="Times New Roman" w:cs="Times New Roman"/>
          <w:lang w:val="en-GB"/>
        </w:rPr>
        <w:t xml:space="preserve">. </w:t>
      </w:r>
      <w:r>
        <w:rPr>
          <w:rFonts w:ascii="Times New Roman" w:hAnsi="Times New Roman" w:cs="Times New Roman"/>
          <w:lang w:val="en-GB"/>
        </w:rPr>
        <w:t xml:space="preserve">Transfer of property possession to the acquirer (e.g. possession of an apartment) is completed when the acquirer gets the possession controlling instrument </w:t>
      </w:r>
      <w:r w:rsidR="002D4027" w:rsidRPr="00C961BD">
        <w:rPr>
          <w:rFonts w:ascii="Times New Roman" w:hAnsi="Times New Roman" w:cs="Times New Roman"/>
          <w:lang w:val="en-GB"/>
        </w:rPr>
        <w:t>(</w:t>
      </w:r>
      <w:r>
        <w:rPr>
          <w:rFonts w:ascii="Times New Roman" w:hAnsi="Times New Roman" w:cs="Times New Roman"/>
          <w:lang w:val="en-GB"/>
        </w:rPr>
        <w:t>e</w:t>
      </w:r>
      <w:r w:rsidR="002D4027" w:rsidRPr="00C961BD">
        <w:rPr>
          <w:rFonts w:ascii="Times New Roman" w:hAnsi="Times New Roman" w:cs="Times New Roman"/>
          <w:lang w:val="en-GB"/>
        </w:rPr>
        <w:t>.</w:t>
      </w:r>
      <w:r>
        <w:rPr>
          <w:rFonts w:ascii="Times New Roman" w:hAnsi="Times New Roman" w:cs="Times New Roman"/>
          <w:lang w:val="en-GB"/>
        </w:rPr>
        <w:t>g. front door keys</w:t>
      </w:r>
      <w:r w:rsidR="002D4027" w:rsidRPr="00C961BD">
        <w:rPr>
          <w:rFonts w:ascii="Times New Roman" w:hAnsi="Times New Roman" w:cs="Times New Roman"/>
          <w:lang w:val="en-GB"/>
        </w:rPr>
        <w:t>)</w:t>
      </w:r>
      <w:proofErr w:type="gramStart"/>
      <w:r w:rsidR="009728B3" w:rsidRPr="00C961BD">
        <w:rPr>
          <w:rFonts w:ascii="Times New Roman" w:hAnsi="Times New Roman" w:cs="Times New Roman"/>
          <w:lang w:val="en-GB"/>
        </w:rPr>
        <w:t>.</w:t>
      </w:r>
      <w:r>
        <w:rPr>
          <w:rFonts w:ascii="Times New Roman" w:hAnsi="Times New Roman" w:cs="Times New Roman"/>
          <w:lang w:val="en-GB"/>
        </w:rPr>
        <w:t xml:space="preserve"> </w:t>
      </w:r>
      <w:proofErr w:type="gramEnd"/>
      <w:r>
        <w:rPr>
          <w:rFonts w:ascii="Times New Roman" w:hAnsi="Times New Roman" w:cs="Times New Roman"/>
          <w:lang w:val="en-GB"/>
        </w:rPr>
        <w:t>In this case, one cannot speak about symbolic tradition</w:t>
      </w:r>
      <w:r w:rsidR="00D01DE2" w:rsidRPr="00C961BD">
        <w:rPr>
          <w:rStyle w:val="FootnoteReference"/>
          <w:rFonts w:ascii="Times New Roman" w:hAnsi="Times New Roman" w:cs="Times New Roman"/>
          <w:lang w:val="en-GB"/>
        </w:rPr>
        <w:footnoteReference w:id="23"/>
      </w:r>
      <w:r w:rsidR="00343F8D" w:rsidRPr="00C961BD">
        <w:rPr>
          <w:rFonts w:ascii="Times New Roman" w:hAnsi="Times New Roman" w:cs="Times New Roman"/>
          <w:lang w:val="en-GB"/>
        </w:rPr>
        <w:t xml:space="preserve"> </w:t>
      </w:r>
      <w:r>
        <w:rPr>
          <w:rFonts w:ascii="Times New Roman" w:hAnsi="Times New Roman" w:cs="Times New Roman"/>
          <w:lang w:val="en-GB"/>
        </w:rPr>
        <w:t>since the person who has been provided with the apartment keys, has also been granted the de facto power over the property</w:t>
      </w:r>
      <w:r w:rsidR="00343F8D" w:rsidRPr="00C961BD">
        <w:rPr>
          <w:rFonts w:ascii="Times New Roman" w:hAnsi="Times New Roman" w:cs="Times New Roman"/>
          <w:lang w:val="en-GB"/>
        </w:rPr>
        <w:t xml:space="preserve">. </w:t>
      </w:r>
      <w:r>
        <w:rPr>
          <w:rFonts w:ascii="Times New Roman" w:hAnsi="Times New Roman" w:cs="Times New Roman"/>
          <w:lang w:val="en-GB"/>
        </w:rPr>
        <w:t xml:space="preserve">The receiver of the keys gets in the situation in which he/she </w:t>
      </w:r>
      <w:r w:rsidR="006F766A">
        <w:rPr>
          <w:rFonts w:ascii="Times New Roman" w:hAnsi="Times New Roman" w:cs="Times New Roman"/>
          <w:lang w:val="en-GB"/>
        </w:rPr>
        <w:t>has the de fact power over the property which can be entered by opening its front door with the received keys</w:t>
      </w:r>
      <w:r w:rsidR="009728B3" w:rsidRPr="00C961BD">
        <w:rPr>
          <w:rFonts w:ascii="Times New Roman" w:hAnsi="Times New Roman" w:cs="Times New Roman"/>
          <w:lang w:val="en-GB"/>
        </w:rPr>
        <w:t xml:space="preserve">. </w:t>
      </w:r>
      <w:r w:rsidR="006F766A">
        <w:rPr>
          <w:rFonts w:ascii="Times New Roman" w:hAnsi="Times New Roman" w:cs="Times New Roman"/>
          <w:lang w:val="en-GB"/>
        </w:rPr>
        <w:t xml:space="preserve">In this light, the judiciary believes that it is of utmost importance to </w:t>
      </w:r>
      <w:r w:rsidR="006F766A">
        <w:rPr>
          <w:rFonts w:ascii="Times New Roman" w:hAnsi="Times New Roman" w:cs="Times New Roman"/>
          <w:lang w:val="en-GB"/>
        </w:rPr>
        <w:lastRenderedPageBreak/>
        <w:t xml:space="preserve">come into possession of a property possession controlling instrument to come into possession of the property itself and that cannot always be achieved by obtaining a </w:t>
      </w:r>
      <w:r w:rsidR="0057539A">
        <w:rPr>
          <w:rFonts w:ascii="Times New Roman" w:hAnsi="Times New Roman" w:cs="Times New Roman"/>
          <w:lang w:val="en-GB"/>
        </w:rPr>
        <w:t>simple</w:t>
      </w:r>
      <w:r w:rsidR="006F766A">
        <w:rPr>
          <w:rFonts w:ascii="Times New Roman" w:hAnsi="Times New Roman" w:cs="Times New Roman"/>
          <w:lang w:val="en-GB"/>
        </w:rPr>
        <w:t xml:space="preserve"> approval for entering the property</w:t>
      </w:r>
      <w:r w:rsidR="0057539A">
        <w:rPr>
          <w:rFonts w:ascii="Times New Roman" w:hAnsi="Times New Roman" w:cs="Times New Roman"/>
          <w:lang w:val="en-GB"/>
        </w:rPr>
        <w:t xml:space="preserve"> </w:t>
      </w:r>
      <w:r w:rsidR="00C75121" w:rsidRPr="00C961BD">
        <w:rPr>
          <w:rFonts w:ascii="Times New Roman" w:hAnsi="Times New Roman" w:cs="Times New Roman"/>
          <w:lang w:val="en-GB"/>
        </w:rPr>
        <w:t xml:space="preserve">(Gavella et.al., 2007 p. 200). </w:t>
      </w:r>
      <w:r w:rsidR="006F766A">
        <w:rPr>
          <w:rFonts w:ascii="Times New Roman" w:hAnsi="Times New Roman" w:cs="Times New Roman"/>
          <w:lang w:val="en-GB"/>
        </w:rPr>
        <w:t xml:space="preserve">Indeed, the Municipal Court in Osijek (sitting in Beli Manastir) established that the respondent prevented the claimant </w:t>
      </w:r>
      <w:r w:rsidR="00CB2A41">
        <w:rPr>
          <w:rFonts w:ascii="Times New Roman" w:hAnsi="Times New Roman" w:cs="Times New Roman"/>
          <w:lang w:val="en-GB"/>
        </w:rPr>
        <w:t>from</w:t>
      </w:r>
      <w:r w:rsidR="006F766A">
        <w:rPr>
          <w:rFonts w:ascii="Times New Roman" w:hAnsi="Times New Roman" w:cs="Times New Roman"/>
          <w:lang w:val="en-GB"/>
        </w:rPr>
        <w:t xml:space="preserve"> com</w:t>
      </w:r>
      <w:r w:rsidR="00CB2A41">
        <w:rPr>
          <w:rFonts w:ascii="Times New Roman" w:hAnsi="Times New Roman" w:cs="Times New Roman"/>
          <w:lang w:val="en-GB"/>
        </w:rPr>
        <w:t>ing</w:t>
      </w:r>
      <w:r w:rsidR="006F766A">
        <w:rPr>
          <w:rFonts w:ascii="Times New Roman" w:hAnsi="Times New Roman" w:cs="Times New Roman"/>
          <w:lang w:val="en-GB"/>
        </w:rPr>
        <w:t xml:space="preserve"> into possession of her share in the common property. More precisely, when transfer of property is to be carried out through handover of the keys to the claimant, the </w:t>
      </w:r>
      <w:r w:rsidR="001A535E">
        <w:rPr>
          <w:rFonts w:ascii="Times New Roman" w:hAnsi="Times New Roman" w:cs="Times New Roman"/>
          <w:lang w:val="en-GB"/>
        </w:rPr>
        <w:t xml:space="preserve">acquirer should come into direct possession thereof. The respondent statement that the claimant should </w:t>
      </w:r>
      <w:r w:rsidR="00026E36">
        <w:rPr>
          <w:rFonts w:ascii="Times New Roman" w:hAnsi="Times New Roman" w:cs="Times New Roman"/>
          <w:lang w:val="en-GB"/>
        </w:rPr>
        <w:t xml:space="preserve">have </w:t>
      </w:r>
      <w:r w:rsidR="001A535E">
        <w:rPr>
          <w:rFonts w:ascii="Times New Roman" w:hAnsi="Times New Roman" w:cs="Times New Roman"/>
          <w:lang w:val="en-GB"/>
        </w:rPr>
        <w:t>take</w:t>
      </w:r>
      <w:r w:rsidR="00026E36">
        <w:rPr>
          <w:rFonts w:ascii="Times New Roman" w:hAnsi="Times New Roman" w:cs="Times New Roman"/>
          <w:lang w:val="en-GB"/>
        </w:rPr>
        <w:t>n</w:t>
      </w:r>
      <w:r w:rsidR="001A535E">
        <w:rPr>
          <w:rFonts w:ascii="Times New Roman" w:hAnsi="Times New Roman" w:cs="Times New Roman"/>
          <w:lang w:val="en-GB"/>
        </w:rPr>
        <w:t xml:space="preserve"> the keys herself does not hold water in this context</w:t>
      </w:r>
      <w:r w:rsidR="006D52F1" w:rsidRPr="00C961BD">
        <w:rPr>
          <w:rFonts w:ascii="Times New Roman" w:hAnsi="Times New Roman" w:cs="Times New Roman"/>
          <w:lang w:val="en-GB"/>
        </w:rPr>
        <w:t xml:space="preserve">. </w:t>
      </w:r>
    </w:p>
    <w:p w14:paraId="06D9BE4D" w14:textId="068AA2EB" w:rsidR="0014395F" w:rsidRPr="00C961BD" w:rsidRDefault="0014395F" w:rsidP="0014395F">
      <w:pPr>
        <w:spacing w:after="0" w:line="360" w:lineRule="auto"/>
        <w:ind w:left="357" w:firstLine="357"/>
        <w:rPr>
          <w:rFonts w:ascii="Times New Roman" w:hAnsi="Times New Roman" w:cs="Times New Roman"/>
          <w:lang w:val="en-GB"/>
        </w:rPr>
      </w:pPr>
    </w:p>
    <w:p w14:paraId="7ED5E645" w14:textId="4D89AD40" w:rsidR="00E37BD1" w:rsidRPr="00C961BD" w:rsidRDefault="00E37BD1" w:rsidP="009C7A51">
      <w:pPr>
        <w:spacing w:after="0" w:line="360" w:lineRule="auto"/>
        <w:rPr>
          <w:rFonts w:ascii="Times New Roman" w:hAnsi="Times New Roman" w:cs="Times New Roman"/>
          <w:lang w:val="en-GB"/>
        </w:rPr>
      </w:pPr>
    </w:p>
    <w:p w14:paraId="0BCEDBBC" w14:textId="6E5F2062" w:rsidR="0062536E" w:rsidRPr="00C961BD" w:rsidRDefault="00180921" w:rsidP="00180921">
      <w:pPr>
        <w:spacing w:after="0" w:line="360" w:lineRule="auto"/>
        <w:jc w:val="both"/>
        <w:rPr>
          <w:rFonts w:ascii="Times New Roman" w:hAnsi="Times New Roman" w:cs="Times New Roman"/>
          <w:b/>
          <w:lang w:val="en-GB"/>
        </w:rPr>
      </w:pPr>
      <w:r w:rsidRPr="00C961BD">
        <w:rPr>
          <w:rFonts w:ascii="Times New Roman" w:hAnsi="Times New Roman" w:cs="Times New Roman"/>
          <w:b/>
          <w:lang w:val="en-GB"/>
        </w:rPr>
        <w:t xml:space="preserve">5.  </w:t>
      </w:r>
      <w:r w:rsidR="00A04959">
        <w:rPr>
          <w:rFonts w:ascii="Times New Roman" w:hAnsi="Times New Roman" w:cs="Times New Roman"/>
          <w:b/>
          <w:lang w:val="en-GB"/>
        </w:rPr>
        <w:t xml:space="preserve">PENDING ISSUES </w:t>
      </w:r>
    </w:p>
    <w:p w14:paraId="5E7EA10D" w14:textId="77777777" w:rsidR="005702B8" w:rsidRPr="00C961BD" w:rsidRDefault="005702B8" w:rsidP="005702B8">
      <w:pPr>
        <w:pStyle w:val="ListParagraph"/>
        <w:spacing w:after="0" w:line="360" w:lineRule="auto"/>
        <w:jc w:val="both"/>
        <w:rPr>
          <w:rFonts w:ascii="Times New Roman" w:hAnsi="Times New Roman" w:cs="Times New Roman"/>
          <w:b/>
          <w:lang w:val="en-GB"/>
        </w:rPr>
      </w:pPr>
    </w:p>
    <w:p w14:paraId="0CE1431A" w14:textId="5CCD05CB" w:rsidR="002645CD" w:rsidRPr="00C961BD" w:rsidRDefault="00A04959" w:rsidP="00AC50CF">
      <w:pPr>
        <w:spacing w:after="0" w:line="360" w:lineRule="auto"/>
        <w:jc w:val="both"/>
        <w:rPr>
          <w:rFonts w:ascii="Times New Roman" w:hAnsi="Times New Roman" w:cs="Times New Roman"/>
          <w:lang w:val="en-GB"/>
        </w:rPr>
      </w:pPr>
      <w:r>
        <w:rPr>
          <w:rFonts w:ascii="Times New Roman" w:hAnsi="Times New Roman" w:cs="Times New Roman"/>
          <w:lang w:val="en-GB"/>
        </w:rPr>
        <w:t xml:space="preserve">As stated above, </w:t>
      </w:r>
      <w:proofErr w:type="gramStart"/>
      <w:r>
        <w:rPr>
          <w:rFonts w:ascii="Times New Roman" w:hAnsi="Times New Roman" w:cs="Times New Roman"/>
          <w:lang w:val="en-GB"/>
        </w:rPr>
        <w:t>making a decision</w:t>
      </w:r>
      <w:proofErr w:type="gramEnd"/>
      <w:r>
        <w:rPr>
          <w:rFonts w:ascii="Times New Roman" w:hAnsi="Times New Roman" w:cs="Times New Roman"/>
          <w:lang w:val="en-GB"/>
        </w:rPr>
        <w:t xml:space="preserve"> on a claim for compensation for</w:t>
      </w:r>
      <w:r w:rsidRPr="00A37C35">
        <w:t xml:space="preserve"> </w:t>
      </w:r>
      <w:r w:rsidRPr="00A37C35">
        <w:rPr>
          <w:rFonts w:ascii="Times New Roman" w:hAnsi="Times New Roman" w:cs="Times New Roman"/>
          <w:lang w:val="en-GB"/>
        </w:rPr>
        <w:t>having used the property or having benefited from it or for all benefits of the possession</w:t>
      </w:r>
      <w:r>
        <w:rPr>
          <w:rFonts w:ascii="Times New Roman" w:hAnsi="Times New Roman" w:cs="Times New Roman"/>
          <w:lang w:val="en-GB"/>
        </w:rPr>
        <w:t xml:space="preserve"> requires determination of </w:t>
      </w:r>
      <w:r w:rsidRPr="00A37C35">
        <w:rPr>
          <w:rFonts w:ascii="Times New Roman" w:hAnsi="Times New Roman" w:cs="Times New Roman"/>
          <w:lang w:val="en-GB"/>
        </w:rPr>
        <w:t>the legal status of the possessor</w:t>
      </w:r>
      <w:r>
        <w:rPr>
          <w:rFonts w:ascii="Times New Roman" w:hAnsi="Times New Roman" w:cs="Times New Roman"/>
          <w:lang w:val="en-GB"/>
        </w:rPr>
        <w:t xml:space="preserve">. </w:t>
      </w:r>
      <w:r w:rsidR="00815A20">
        <w:rPr>
          <w:rFonts w:ascii="Times New Roman" w:hAnsi="Times New Roman" w:cs="Times New Roman"/>
          <w:lang w:val="en-GB"/>
        </w:rPr>
        <w:t>What has also been mentioned in this view is that</w:t>
      </w:r>
      <w:r w:rsidRPr="00CC0E03">
        <w:rPr>
          <w:rFonts w:ascii="Times New Roman" w:hAnsi="Times New Roman" w:cs="Times New Roman"/>
          <w:lang w:val="en-GB"/>
        </w:rPr>
        <w:t xml:space="preserve"> the claim does not have to include a request for surrender of the property (thing) if the (co)-owner has expressed his/her will to possess the property in an appropriate way</w:t>
      </w:r>
      <w:r w:rsidR="00AC50CF" w:rsidRPr="00C961BD">
        <w:rPr>
          <w:rFonts w:ascii="Times New Roman" w:hAnsi="Times New Roman" w:cs="Times New Roman"/>
          <w:lang w:val="en-GB"/>
        </w:rPr>
        <w:t xml:space="preserve">. </w:t>
      </w:r>
      <w:r w:rsidR="00815A20">
        <w:rPr>
          <w:rFonts w:ascii="Times New Roman" w:hAnsi="Times New Roman" w:cs="Times New Roman"/>
          <w:lang w:val="en-GB"/>
        </w:rPr>
        <w:t>However, in real life, such issues are not resolved so easily. For instance, in a situation where the relationship between property co-owners is so hampered that property co-possession is not possible and then one co-owner leaves the property voluntarily</w:t>
      </w:r>
      <w:r w:rsidR="00000AB7" w:rsidRPr="00C961BD">
        <w:rPr>
          <w:rFonts w:ascii="Times New Roman" w:hAnsi="Times New Roman" w:cs="Times New Roman"/>
          <w:lang w:val="en-GB"/>
        </w:rPr>
        <w:t>.</w:t>
      </w:r>
      <w:r w:rsidR="00815A20">
        <w:rPr>
          <w:rFonts w:ascii="Times New Roman" w:hAnsi="Times New Roman" w:cs="Times New Roman"/>
          <w:lang w:val="en-GB"/>
        </w:rPr>
        <w:t xml:space="preserve"> Should he/she be then entitled to compensation corresponding to the rental fee</w:t>
      </w:r>
      <w:r w:rsidR="00000AB7" w:rsidRPr="00C961BD">
        <w:rPr>
          <w:rFonts w:ascii="Times New Roman" w:hAnsi="Times New Roman" w:cs="Times New Roman"/>
          <w:lang w:val="en-GB"/>
        </w:rPr>
        <w:t xml:space="preserve"> </w:t>
      </w:r>
      <w:r w:rsidR="00815A20">
        <w:rPr>
          <w:rFonts w:ascii="Times New Roman" w:hAnsi="Times New Roman" w:cs="Times New Roman"/>
          <w:lang w:val="en-GB"/>
        </w:rPr>
        <w:t xml:space="preserve">for his/her fractional interest in the property </w:t>
      </w:r>
      <w:r w:rsidR="00A153EC">
        <w:rPr>
          <w:rFonts w:ascii="Times New Roman" w:hAnsi="Times New Roman" w:cs="Times New Roman"/>
          <w:lang w:val="en-GB"/>
        </w:rPr>
        <w:t>due to the other co-owner’s occupation and utilization of the property</w:t>
      </w:r>
      <w:r w:rsidR="002645CD" w:rsidRPr="00C961BD">
        <w:rPr>
          <w:rFonts w:ascii="Times New Roman" w:hAnsi="Times New Roman" w:cs="Times New Roman"/>
          <w:lang w:val="en-GB"/>
        </w:rPr>
        <w:t>?</w:t>
      </w:r>
    </w:p>
    <w:p w14:paraId="6AB58F28" w14:textId="31D49A1E" w:rsidR="006462FC" w:rsidRPr="00C961BD" w:rsidRDefault="00A153EC" w:rsidP="00AC50CF">
      <w:pPr>
        <w:spacing w:after="0" w:line="360" w:lineRule="auto"/>
        <w:jc w:val="both"/>
        <w:rPr>
          <w:rFonts w:ascii="Times New Roman" w:hAnsi="Times New Roman" w:cs="Times New Roman"/>
          <w:lang w:val="en-GB"/>
        </w:rPr>
      </w:pPr>
      <w:r>
        <w:rPr>
          <w:rFonts w:ascii="Times New Roman" w:hAnsi="Times New Roman" w:cs="Times New Roman"/>
          <w:lang w:val="en-GB"/>
        </w:rPr>
        <w:t>In it</w:t>
      </w:r>
      <w:r w:rsidR="00026E36">
        <w:rPr>
          <w:rFonts w:ascii="Times New Roman" w:hAnsi="Times New Roman" w:cs="Times New Roman"/>
          <w:lang w:val="en-GB"/>
        </w:rPr>
        <w:t>s</w:t>
      </w:r>
      <w:r>
        <w:rPr>
          <w:rFonts w:ascii="Times New Roman" w:hAnsi="Times New Roman" w:cs="Times New Roman"/>
          <w:lang w:val="en-GB"/>
        </w:rPr>
        <w:t xml:space="preserve"> ruling</w:t>
      </w:r>
      <w:r w:rsidR="002645CD" w:rsidRPr="00C961BD">
        <w:rPr>
          <w:rStyle w:val="FootnoteReference"/>
          <w:rFonts w:ascii="Times New Roman" w:hAnsi="Times New Roman" w:cs="Times New Roman"/>
          <w:lang w:val="en-GB"/>
        </w:rPr>
        <w:footnoteReference w:id="24"/>
      </w:r>
      <w:r>
        <w:rPr>
          <w:rFonts w:ascii="Times New Roman" w:hAnsi="Times New Roman" w:cs="Times New Roman"/>
          <w:lang w:val="en-GB"/>
        </w:rPr>
        <w:t>,</w:t>
      </w:r>
      <w:r w:rsidR="002645CD" w:rsidRPr="00C961BD">
        <w:rPr>
          <w:rFonts w:ascii="Times New Roman" w:hAnsi="Times New Roman" w:cs="Times New Roman"/>
          <w:lang w:val="en-GB"/>
        </w:rPr>
        <w:t xml:space="preserve"> </w:t>
      </w:r>
      <w:r>
        <w:rPr>
          <w:rFonts w:ascii="Times New Roman" w:hAnsi="Times New Roman" w:cs="Times New Roman"/>
          <w:lang w:val="en-GB"/>
        </w:rPr>
        <w:t>the County Court in</w:t>
      </w:r>
      <w:r w:rsidRPr="00C961BD">
        <w:rPr>
          <w:rFonts w:ascii="Times New Roman" w:hAnsi="Times New Roman" w:cs="Times New Roman"/>
          <w:lang w:val="en-GB"/>
        </w:rPr>
        <w:t xml:space="preserve"> Varaždin</w:t>
      </w:r>
      <w:r>
        <w:rPr>
          <w:rFonts w:ascii="Times New Roman" w:hAnsi="Times New Roman" w:cs="Times New Roman"/>
          <w:lang w:val="en-GB"/>
        </w:rPr>
        <w:t xml:space="preserve"> set aside the judgement of the Municipal Court in Ivanec and referred the case back to the latter</w:t>
      </w:r>
      <w:r w:rsidR="00F35257" w:rsidRPr="00C961BD">
        <w:rPr>
          <w:rFonts w:ascii="Times New Roman" w:hAnsi="Times New Roman" w:cs="Times New Roman"/>
          <w:lang w:val="en-GB"/>
        </w:rPr>
        <w:t xml:space="preserve">. </w:t>
      </w:r>
      <w:r>
        <w:rPr>
          <w:rFonts w:ascii="Times New Roman" w:hAnsi="Times New Roman" w:cs="Times New Roman"/>
          <w:lang w:val="en-GB"/>
        </w:rPr>
        <w:t xml:space="preserve">The former explained that the first instance court </w:t>
      </w:r>
      <w:r w:rsidR="00E50AE1">
        <w:rPr>
          <w:rFonts w:ascii="Times New Roman" w:hAnsi="Times New Roman" w:cs="Times New Roman"/>
          <w:lang w:val="en-GB"/>
        </w:rPr>
        <w:t xml:space="preserve">bound the respondent to provide the claimant with compensation for using the whole real property </w:t>
      </w:r>
      <w:r w:rsidR="003F14A1" w:rsidRPr="00C961BD">
        <w:rPr>
          <w:rFonts w:ascii="Times New Roman" w:hAnsi="Times New Roman" w:cs="Times New Roman"/>
          <w:lang w:val="en-GB"/>
        </w:rPr>
        <w:t>(</w:t>
      </w:r>
      <w:r w:rsidR="00E50AE1">
        <w:rPr>
          <w:rFonts w:ascii="Times New Roman" w:hAnsi="Times New Roman" w:cs="Times New Roman"/>
          <w:lang w:val="en-GB"/>
        </w:rPr>
        <w:t>also for the claimant’s share (</w:t>
      </w:r>
      <w:r w:rsidR="00E50AE1" w:rsidRPr="00E50AE1">
        <w:rPr>
          <w:rFonts w:ascii="Times New Roman" w:hAnsi="Times New Roman" w:cs="Times New Roman"/>
          <w:lang w:val="en-GB"/>
        </w:rPr>
        <w:t>½</w:t>
      </w:r>
      <w:r w:rsidR="00E50AE1">
        <w:rPr>
          <w:rFonts w:ascii="Times New Roman" w:hAnsi="Times New Roman" w:cs="Times New Roman"/>
          <w:lang w:val="en-GB"/>
        </w:rPr>
        <w:t>) in the property</w:t>
      </w:r>
      <w:r w:rsidR="003F14A1" w:rsidRPr="00C961BD">
        <w:rPr>
          <w:rFonts w:ascii="Times New Roman" w:hAnsi="Times New Roman" w:cs="Times New Roman"/>
          <w:lang w:val="en-GB"/>
        </w:rPr>
        <w:t>)</w:t>
      </w:r>
      <w:r w:rsidR="00E50AE1">
        <w:rPr>
          <w:rFonts w:ascii="Times New Roman" w:hAnsi="Times New Roman" w:cs="Times New Roman"/>
          <w:lang w:val="en-GB"/>
        </w:rPr>
        <w:t xml:space="preserve"> and added that</w:t>
      </w:r>
      <w:proofErr w:type="gramStart"/>
      <w:r w:rsidR="003F14A1" w:rsidRPr="00C961BD">
        <w:rPr>
          <w:rFonts w:ascii="Times New Roman" w:hAnsi="Times New Roman" w:cs="Times New Roman"/>
          <w:lang w:val="en-GB"/>
        </w:rPr>
        <w:t>:</w:t>
      </w:r>
      <w:r w:rsidR="00E50AE1">
        <w:rPr>
          <w:rFonts w:ascii="Times New Roman" w:hAnsi="Times New Roman" w:cs="Times New Roman"/>
          <w:lang w:val="en-GB"/>
        </w:rPr>
        <w:t xml:space="preserve"> ’</w:t>
      </w:r>
      <w:proofErr w:type="gramEnd"/>
      <w:r w:rsidR="00E50AE1">
        <w:rPr>
          <w:rFonts w:ascii="Times New Roman" w:hAnsi="Times New Roman" w:cs="Times New Roman"/>
          <w:lang w:val="en-GB"/>
        </w:rPr>
        <w:t>’considering the relationship between the parties, the claimant’s decision to leave the apartment did not have effect on the resolution of this dispute</w:t>
      </w:r>
      <w:r w:rsidR="00D80898" w:rsidRPr="00C961BD">
        <w:rPr>
          <w:rFonts w:ascii="Times New Roman" w:hAnsi="Times New Roman" w:cs="Times New Roman"/>
          <w:lang w:val="en-GB"/>
        </w:rPr>
        <w:t>.</w:t>
      </w:r>
      <w:r w:rsidR="00E50AE1">
        <w:rPr>
          <w:rFonts w:ascii="Times New Roman" w:hAnsi="Times New Roman" w:cs="Times New Roman"/>
          <w:lang w:val="en-GB"/>
        </w:rPr>
        <w:t>’’</w:t>
      </w:r>
      <w:r w:rsidR="003F14A1" w:rsidRPr="00C961BD">
        <w:rPr>
          <w:rFonts w:ascii="Times New Roman" w:hAnsi="Times New Roman" w:cs="Times New Roman"/>
          <w:lang w:val="en-GB"/>
        </w:rPr>
        <w:t xml:space="preserve"> </w:t>
      </w:r>
      <w:r w:rsidR="00BF7046">
        <w:rPr>
          <w:rFonts w:ascii="Times New Roman" w:hAnsi="Times New Roman" w:cs="Times New Roman"/>
          <w:lang w:val="en-GB"/>
        </w:rPr>
        <w:t xml:space="preserve">It also asserted that the parties were spouses and the apartment was very small </w:t>
      </w:r>
      <w:r w:rsidR="00827B39" w:rsidRPr="00C961BD">
        <w:rPr>
          <w:rFonts w:ascii="Times New Roman" w:hAnsi="Times New Roman" w:cs="Times New Roman"/>
          <w:lang w:val="en-GB"/>
        </w:rPr>
        <w:t>(59,49 m</w:t>
      </w:r>
      <w:r w:rsidR="00827B39" w:rsidRPr="00C961BD">
        <w:rPr>
          <w:rFonts w:ascii="Times New Roman" w:hAnsi="Times New Roman" w:cs="Times New Roman"/>
          <w:lang w:val="en-GB"/>
        </w:rPr>
        <w:sym w:font="Symbol" w:char="F032"/>
      </w:r>
      <w:r w:rsidR="00827B39" w:rsidRPr="00C961BD">
        <w:rPr>
          <w:rFonts w:ascii="Times New Roman" w:hAnsi="Times New Roman" w:cs="Times New Roman"/>
          <w:lang w:val="en-GB"/>
        </w:rPr>
        <w:t xml:space="preserve">), </w:t>
      </w:r>
      <w:r w:rsidR="00BF7046">
        <w:rPr>
          <w:rFonts w:ascii="Times New Roman" w:hAnsi="Times New Roman" w:cs="Times New Roman"/>
          <w:lang w:val="en-GB"/>
        </w:rPr>
        <w:t xml:space="preserve">which entails that the parties would meet regularly and, the court held, ’’that there was  a danger of a verbal and </w:t>
      </w:r>
      <w:r w:rsidR="00827B39" w:rsidRPr="00C961BD">
        <w:rPr>
          <w:rFonts w:ascii="Times New Roman" w:hAnsi="Times New Roman" w:cs="Times New Roman"/>
          <w:lang w:val="en-GB"/>
        </w:rPr>
        <w:t>p</w:t>
      </w:r>
      <w:r w:rsidR="00BF7046">
        <w:rPr>
          <w:rFonts w:ascii="Times New Roman" w:hAnsi="Times New Roman" w:cs="Times New Roman"/>
          <w:lang w:val="en-GB"/>
        </w:rPr>
        <w:t>hysical conflict between the parties, which indicates that the claimant did not leave the apartment voluntarily but the circumst</w:t>
      </w:r>
      <w:r w:rsidR="00CA148D">
        <w:rPr>
          <w:rFonts w:ascii="Times New Roman" w:hAnsi="Times New Roman" w:cs="Times New Roman"/>
          <w:lang w:val="en-GB"/>
        </w:rPr>
        <w:t>an</w:t>
      </w:r>
      <w:r w:rsidR="00BF7046">
        <w:rPr>
          <w:rFonts w:ascii="Times New Roman" w:hAnsi="Times New Roman" w:cs="Times New Roman"/>
          <w:lang w:val="en-GB"/>
        </w:rPr>
        <w:t>ces made her do so, particularly the respondent’s attitude towards her in case no</w:t>
      </w:r>
      <w:r w:rsidR="00827B39" w:rsidRPr="00C961BD">
        <w:rPr>
          <w:rFonts w:ascii="Times New Roman" w:hAnsi="Times New Roman" w:cs="Times New Roman"/>
          <w:lang w:val="en-GB"/>
        </w:rPr>
        <w:t xml:space="preserve">. P-30/00. </w:t>
      </w:r>
      <w:r w:rsidR="00BF7046">
        <w:rPr>
          <w:rFonts w:ascii="Times New Roman" w:hAnsi="Times New Roman" w:cs="Times New Roman"/>
          <w:lang w:val="en-GB"/>
        </w:rPr>
        <w:t>On the other hand, the County Court found that when ordering the respondent to provide the claimant with compensation for his unjust enrichment resulting from the claimant’s apartment</w:t>
      </w:r>
      <w:r w:rsidR="001E6B8E">
        <w:rPr>
          <w:rFonts w:ascii="Times New Roman" w:hAnsi="Times New Roman" w:cs="Times New Roman"/>
          <w:lang w:val="en-GB"/>
        </w:rPr>
        <w:t xml:space="preserve"> abandonment</w:t>
      </w:r>
      <w:r w:rsidR="00BF7046">
        <w:rPr>
          <w:rFonts w:ascii="Times New Roman" w:hAnsi="Times New Roman" w:cs="Times New Roman"/>
          <w:lang w:val="en-GB"/>
        </w:rPr>
        <w:t>, the first instance court</w:t>
      </w:r>
      <w:r w:rsidR="001E6B8E">
        <w:rPr>
          <w:rFonts w:ascii="Times New Roman" w:hAnsi="Times New Roman" w:cs="Times New Roman"/>
          <w:lang w:val="en-GB"/>
        </w:rPr>
        <w:t xml:space="preserve"> neither found sufficient factual background for its decision nor clarify the respondent’s behaviour nor explained </w:t>
      </w:r>
      <w:r w:rsidR="001E6B8E">
        <w:rPr>
          <w:rFonts w:ascii="Times New Roman" w:hAnsi="Times New Roman" w:cs="Times New Roman"/>
          <w:lang w:val="en-GB"/>
        </w:rPr>
        <w:lastRenderedPageBreak/>
        <w:t>why exactly the claimant was forced to leave the apartment</w:t>
      </w:r>
      <w:r w:rsidR="00A32119" w:rsidRPr="00C961BD">
        <w:rPr>
          <w:rFonts w:ascii="Times New Roman" w:hAnsi="Times New Roman" w:cs="Times New Roman"/>
          <w:lang w:val="en-GB"/>
        </w:rPr>
        <w:t xml:space="preserve">. </w:t>
      </w:r>
      <w:r w:rsidR="001E6B8E">
        <w:rPr>
          <w:rFonts w:ascii="Times New Roman" w:hAnsi="Times New Roman" w:cs="Times New Roman"/>
          <w:lang w:val="en-GB"/>
        </w:rPr>
        <w:t>Moreover, the second instance court highlighted that the first instance court, without stating a logical ground for its opinion, found irrelevant for the outcome of the case that the claimant could or could not enter the apartment</w:t>
      </w:r>
      <w:r w:rsidR="00A32119" w:rsidRPr="00C961BD">
        <w:rPr>
          <w:rFonts w:ascii="Times New Roman" w:hAnsi="Times New Roman" w:cs="Times New Roman"/>
          <w:lang w:val="en-GB"/>
        </w:rPr>
        <w:t xml:space="preserve">. </w:t>
      </w:r>
      <w:r w:rsidR="001E6B8E">
        <w:rPr>
          <w:rFonts w:ascii="Times New Roman" w:hAnsi="Times New Roman" w:cs="Times New Roman"/>
          <w:lang w:val="en-GB"/>
        </w:rPr>
        <w:t xml:space="preserve">The second instance court concluded its reasoning with the thesis that the crucial point in the dispute was whether the respondent </w:t>
      </w:r>
      <w:r w:rsidR="008F3A91">
        <w:rPr>
          <w:rFonts w:ascii="Times New Roman" w:hAnsi="Times New Roman" w:cs="Times New Roman"/>
          <w:lang w:val="en-GB"/>
        </w:rPr>
        <w:t>had directly or indirectly prevented the claimant from co-possessing the apartment with his action or not and the first instance court failed to provide an answer to this question. Thus, the second instance court set aside the contested judgment</w:t>
      </w:r>
      <w:r w:rsidR="00A32119" w:rsidRPr="00C961BD">
        <w:rPr>
          <w:rFonts w:ascii="Times New Roman" w:hAnsi="Times New Roman" w:cs="Times New Roman"/>
          <w:lang w:val="en-GB"/>
        </w:rPr>
        <w:t>.</w:t>
      </w:r>
    </w:p>
    <w:p w14:paraId="7F97C0AD" w14:textId="28B2BDF5" w:rsidR="00DE0A9F" w:rsidRPr="00C961BD" w:rsidRDefault="00CA148D" w:rsidP="00AC50CF">
      <w:pPr>
        <w:spacing w:after="0" w:line="360" w:lineRule="auto"/>
        <w:jc w:val="both"/>
        <w:rPr>
          <w:rFonts w:ascii="Times New Roman" w:hAnsi="Times New Roman" w:cs="Times New Roman"/>
          <w:lang w:val="en-GB"/>
        </w:rPr>
      </w:pPr>
      <w:r>
        <w:rPr>
          <w:rFonts w:ascii="Times New Roman" w:hAnsi="Times New Roman" w:cs="Times New Roman"/>
          <w:lang w:val="en-GB"/>
        </w:rPr>
        <w:t>As demonstrated above, it is not clear whether the claimant should be entitled to compensation for not using common property in situations where property co-possession is almost impossible</w:t>
      </w:r>
      <w:r w:rsidR="00A24CE9" w:rsidRPr="00C961BD">
        <w:rPr>
          <w:rFonts w:ascii="Times New Roman" w:hAnsi="Times New Roman" w:cs="Times New Roman"/>
          <w:lang w:val="en-GB"/>
        </w:rPr>
        <w:t xml:space="preserve">. </w:t>
      </w:r>
      <w:r>
        <w:rPr>
          <w:rFonts w:ascii="Times New Roman" w:hAnsi="Times New Roman" w:cs="Times New Roman"/>
          <w:lang w:val="en-GB"/>
        </w:rPr>
        <w:t>This issue becomes particularly evident when it comes to small apartments where personal contacts cannot be avoided</w:t>
      </w:r>
      <w:r w:rsidR="00A24CE9" w:rsidRPr="00C961BD">
        <w:rPr>
          <w:rFonts w:ascii="Times New Roman" w:hAnsi="Times New Roman" w:cs="Times New Roman"/>
          <w:lang w:val="en-GB"/>
        </w:rPr>
        <w:t xml:space="preserve">. </w:t>
      </w:r>
      <w:r>
        <w:rPr>
          <w:rFonts w:ascii="Times New Roman" w:hAnsi="Times New Roman" w:cs="Times New Roman"/>
          <w:lang w:val="en-GB"/>
        </w:rPr>
        <w:t>In such cases, one c</w:t>
      </w:r>
      <w:r w:rsidR="001026F6">
        <w:rPr>
          <w:rFonts w:ascii="Times New Roman" w:hAnsi="Times New Roman" w:cs="Times New Roman"/>
          <w:lang w:val="en-GB"/>
        </w:rPr>
        <w:t xml:space="preserve">o-owner does not even wish to co-possess the common property </w:t>
      </w:r>
      <w:r w:rsidR="007F4361" w:rsidRPr="00C961BD">
        <w:rPr>
          <w:rFonts w:ascii="Times New Roman" w:hAnsi="Times New Roman" w:cs="Times New Roman"/>
          <w:lang w:val="en-GB"/>
        </w:rPr>
        <w:t>(</w:t>
      </w:r>
      <w:r w:rsidR="001026F6">
        <w:rPr>
          <w:rFonts w:ascii="Times New Roman" w:hAnsi="Times New Roman" w:cs="Times New Roman"/>
          <w:lang w:val="en-GB"/>
        </w:rPr>
        <w:t>e</w:t>
      </w:r>
      <w:r w:rsidR="007F4361" w:rsidRPr="00C961BD">
        <w:rPr>
          <w:rFonts w:ascii="Times New Roman" w:hAnsi="Times New Roman" w:cs="Times New Roman"/>
          <w:lang w:val="en-GB"/>
        </w:rPr>
        <w:t>.</w:t>
      </w:r>
      <w:r w:rsidR="001026F6">
        <w:rPr>
          <w:rFonts w:ascii="Times New Roman" w:hAnsi="Times New Roman" w:cs="Times New Roman"/>
          <w:lang w:val="en-GB"/>
        </w:rPr>
        <w:t>g. due to the fear that it might come to domestic violence</w:t>
      </w:r>
      <w:r w:rsidR="007F4361" w:rsidRPr="00C961BD">
        <w:rPr>
          <w:rFonts w:ascii="Times New Roman" w:hAnsi="Times New Roman" w:cs="Times New Roman"/>
          <w:lang w:val="en-GB"/>
        </w:rPr>
        <w:t>)</w:t>
      </w:r>
      <w:r w:rsidR="00770CBC" w:rsidRPr="00C961BD">
        <w:rPr>
          <w:rFonts w:ascii="Times New Roman" w:hAnsi="Times New Roman" w:cs="Times New Roman"/>
          <w:lang w:val="en-GB"/>
        </w:rPr>
        <w:t xml:space="preserve">, </w:t>
      </w:r>
      <w:r w:rsidR="001026F6">
        <w:rPr>
          <w:rFonts w:ascii="Times New Roman" w:hAnsi="Times New Roman" w:cs="Times New Roman"/>
          <w:lang w:val="en-GB"/>
        </w:rPr>
        <w:t>so it cannot be expected that he/she will express his/her will to possess the property in an appropriate way</w:t>
      </w:r>
      <w:r w:rsidR="00770CBC" w:rsidRPr="00C961BD">
        <w:rPr>
          <w:rFonts w:ascii="Times New Roman" w:hAnsi="Times New Roman" w:cs="Times New Roman"/>
          <w:lang w:val="en-GB"/>
        </w:rPr>
        <w:t>.</w:t>
      </w:r>
    </w:p>
    <w:p w14:paraId="496D5399" w14:textId="53DE4833" w:rsidR="00A43A41" w:rsidRPr="00C961BD" w:rsidRDefault="001026F6" w:rsidP="006978A4">
      <w:pPr>
        <w:spacing w:after="0" w:line="360" w:lineRule="auto"/>
        <w:jc w:val="both"/>
        <w:rPr>
          <w:rFonts w:ascii="Times New Roman" w:hAnsi="Times New Roman" w:cs="Times New Roman"/>
          <w:lang w:val="en-GB"/>
        </w:rPr>
      </w:pPr>
      <w:r>
        <w:rPr>
          <w:rFonts w:ascii="Times New Roman" w:hAnsi="Times New Roman" w:cs="Times New Roman"/>
          <w:lang w:val="en-GB"/>
        </w:rPr>
        <w:t>Consequently</w:t>
      </w:r>
      <w:r w:rsidR="007F4361" w:rsidRPr="00C961BD">
        <w:rPr>
          <w:rFonts w:ascii="Times New Roman" w:hAnsi="Times New Roman" w:cs="Times New Roman"/>
          <w:lang w:val="en-GB"/>
        </w:rPr>
        <w:t>,</w:t>
      </w:r>
      <w:r>
        <w:rPr>
          <w:rFonts w:ascii="Times New Roman" w:hAnsi="Times New Roman" w:cs="Times New Roman"/>
          <w:lang w:val="en-GB"/>
        </w:rPr>
        <w:t xml:space="preserve"> with the aim to ensure legal security and uniform application of law, the legislator should adopt a special rule which would regulate situations in which a co-owner who does not want co-possession of property, shall be entitled to compensation without clearly expressing his/her will to possess the respective property</w:t>
      </w:r>
      <w:r w:rsidR="00DE0A9F" w:rsidRPr="00C961BD">
        <w:rPr>
          <w:rFonts w:ascii="Times New Roman" w:hAnsi="Times New Roman" w:cs="Times New Roman"/>
          <w:lang w:val="en-GB"/>
        </w:rPr>
        <w:t xml:space="preserve">. </w:t>
      </w:r>
      <w:r>
        <w:rPr>
          <w:rFonts w:ascii="Times New Roman" w:hAnsi="Times New Roman" w:cs="Times New Roman"/>
          <w:lang w:val="en-GB"/>
        </w:rPr>
        <w:t xml:space="preserve">Indeed, </w:t>
      </w:r>
      <w:r w:rsidR="00272674">
        <w:rPr>
          <w:rFonts w:ascii="Times New Roman" w:hAnsi="Times New Roman" w:cs="Times New Roman"/>
          <w:lang w:val="en-GB"/>
        </w:rPr>
        <w:t xml:space="preserve">the Act </w:t>
      </w:r>
      <w:r w:rsidR="00EB6E93">
        <w:rPr>
          <w:rFonts w:ascii="Times New Roman" w:hAnsi="Times New Roman" w:cs="Times New Roman"/>
          <w:lang w:val="en-GB"/>
        </w:rPr>
        <w:t>on the Protection against Domestic Violence</w:t>
      </w:r>
      <w:r w:rsidR="0074734F" w:rsidRPr="00C961BD">
        <w:rPr>
          <w:rStyle w:val="FootnoteReference"/>
          <w:rFonts w:ascii="Times New Roman" w:hAnsi="Times New Roman" w:cs="Times New Roman"/>
          <w:lang w:val="en-GB"/>
        </w:rPr>
        <w:footnoteReference w:id="25"/>
      </w:r>
      <w:r w:rsidR="00C1015C" w:rsidRPr="00C961BD">
        <w:rPr>
          <w:rFonts w:ascii="Times New Roman" w:hAnsi="Times New Roman" w:cs="Times New Roman"/>
          <w:lang w:val="en-GB"/>
        </w:rPr>
        <w:t xml:space="preserve"> </w:t>
      </w:r>
      <w:r w:rsidR="00EB6E93">
        <w:rPr>
          <w:rFonts w:ascii="Times New Roman" w:hAnsi="Times New Roman" w:cs="Times New Roman"/>
          <w:lang w:val="en-GB"/>
        </w:rPr>
        <w:t>could include an irrebuttable presumption of fact</w:t>
      </w:r>
      <w:r w:rsidR="00C1015C" w:rsidRPr="00C961BD">
        <w:rPr>
          <w:rFonts w:ascii="Times New Roman" w:hAnsi="Times New Roman" w:cs="Times New Roman"/>
          <w:lang w:val="en-GB"/>
        </w:rPr>
        <w:t xml:space="preserve"> </w:t>
      </w:r>
      <w:r w:rsidR="005B391B" w:rsidRPr="00C961BD">
        <w:rPr>
          <w:rFonts w:ascii="Times New Roman" w:hAnsi="Times New Roman" w:cs="Times New Roman"/>
          <w:lang w:val="en-GB"/>
        </w:rPr>
        <w:t>(</w:t>
      </w:r>
      <w:r w:rsidR="005B391B" w:rsidRPr="00C961BD">
        <w:rPr>
          <w:rFonts w:ascii="Times New Roman" w:hAnsi="Times New Roman" w:cs="Times New Roman"/>
          <w:i/>
          <w:iCs/>
          <w:lang w:val="en-GB"/>
        </w:rPr>
        <w:t>praesumptio juris et de jure</w:t>
      </w:r>
      <w:r w:rsidR="005B391B" w:rsidRPr="00C961BD">
        <w:rPr>
          <w:rFonts w:ascii="Times New Roman" w:hAnsi="Times New Roman" w:cs="Times New Roman"/>
          <w:lang w:val="en-GB"/>
        </w:rPr>
        <w:t>)</w:t>
      </w:r>
      <w:r w:rsidR="00EB6E93">
        <w:rPr>
          <w:rFonts w:ascii="Times New Roman" w:hAnsi="Times New Roman" w:cs="Times New Roman"/>
          <w:lang w:val="en-GB"/>
        </w:rPr>
        <w:t>, according to which it could be automatically assumed that a person, victim of domestic violence, due to which he/she has left the respective property, has expressed his/her will for property possession in a proper way</w:t>
      </w:r>
      <w:r w:rsidR="005B391B" w:rsidRPr="00C961BD">
        <w:rPr>
          <w:rFonts w:ascii="Times New Roman" w:hAnsi="Times New Roman" w:cs="Times New Roman"/>
          <w:lang w:val="en-GB"/>
        </w:rPr>
        <w:t>.</w:t>
      </w:r>
      <w:r w:rsidR="005B391B" w:rsidRPr="00C961BD">
        <w:rPr>
          <w:rStyle w:val="FootnoteReference"/>
          <w:rFonts w:ascii="Times New Roman" w:hAnsi="Times New Roman" w:cs="Times New Roman"/>
          <w:lang w:val="en-GB"/>
        </w:rPr>
        <w:footnoteReference w:id="26"/>
      </w:r>
      <w:r w:rsidR="00EB60FB" w:rsidRPr="00C961BD">
        <w:rPr>
          <w:rFonts w:ascii="Times New Roman" w:hAnsi="Times New Roman" w:cs="Times New Roman"/>
          <w:vertAlign w:val="superscript"/>
          <w:lang w:val="en-GB"/>
        </w:rPr>
        <w:t>,</w:t>
      </w:r>
      <w:r w:rsidR="00EB60FB" w:rsidRPr="00C961BD">
        <w:rPr>
          <w:rFonts w:ascii="Times New Roman" w:hAnsi="Times New Roman" w:cs="Times New Roman"/>
          <w:lang w:val="en-GB"/>
        </w:rPr>
        <w:t xml:space="preserve"> </w:t>
      </w:r>
      <w:r w:rsidR="00EB60FB" w:rsidRPr="00C961BD">
        <w:rPr>
          <w:rStyle w:val="FootnoteReference"/>
          <w:rFonts w:ascii="Times New Roman" w:hAnsi="Times New Roman" w:cs="Times New Roman"/>
          <w:lang w:val="en-GB"/>
        </w:rPr>
        <w:footnoteReference w:id="27"/>
      </w:r>
      <w:r w:rsidR="002B7568" w:rsidRPr="00C961BD">
        <w:rPr>
          <w:rFonts w:ascii="Times New Roman" w:hAnsi="Times New Roman" w:cs="Times New Roman"/>
          <w:lang w:val="en-GB"/>
        </w:rPr>
        <w:t xml:space="preserve"> </w:t>
      </w:r>
      <w:r w:rsidR="00EB6E93">
        <w:rPr>
          <w:rFonts w:ascii="Times New Roman" w:hAnsi="Times New Roman" w:cs="Times New Roman"/>
          <w:lang w:val="en-GB"/>
        </w:rPr>
        <w:t>That way, the legislator would recognize and protect the prevalence of the interest to protect a person from economic violence over the interest of the perpetrator and over the substantive truth-finding principle in a litigation</w:t>
      </w:r>
      <w:r w:rsidR="00026E36">
        <w:rPr>
          <w:rFonts w:ascii="Times New Roman" w:hAnsi="Times New Roman" w:cs="Times New Roman"/>
          <w:lang w:val="en-GB"/>
        </w:rPr>
        <w:t xml:space="preserve"> (civil action)</w:t>
      </w:r>
      <w:r w:rsidR="00FA20FA" w:rsidRPr="00C961BD">
        <w:rPr>
          <w:rFonts w:ascii="Times New Roman" w:hAnsi="Times New Roman" w:cs="Times New Roman"/>
          <w:lang w:val="en-GB"/>
        </w:rPr>
        <w:t>.</w:t>
      </w:r>
      <w:r w:rsidR="00FA20FA" w:rsidRPr="00C961BD">
        <w:rPr>
          <w:rStyle w:val="FootnoteReference"/>
          <w:rFonts w:ascii="Times New Roman" w:hAnsi="Times New Roman" w:cs="Times New Roman"/>
          <w:lang w:val="en-GB"/>
        </w:rPr>
        <w:footnoteReference w:id="28"/>
      </w:r>
      <w:r w:rsidR="002663EF" w:rsidRPr="00C961BD">
        <w:rPr>
          <w:rFonts w:ascii="Times New Roman" w:hAnsi="Times New Roman" w:cs="Times New Roman"/>
          <w:lang w:val="en-GB"/>
        </w:rPr>
        <w:t xml:space="preserve"> </w:t>
      </w:r>
      <w:r w:rsidR="00EB6E93">
        <w:rPr>
          <w:rFonts w:ascii="Times New Roman" w:hAnsi="Times New Roman" w:cs="Times New Roman"/>
          <w:lang w:val="en-GB"/>
        </w:rPr>
        <w:t xml:space="preserve">Implementation of such a rule would improve the procedural status of </w:t>
      </w:r>
      <w:r w:rsidR="00165824">
        <w:rPr>
          <w:rFonts w:ascii="Times New Roman" w:hAnsi="Times New Roman" w:cs="Times New Roman"/>
          <w:lang w:val="en-GB"/>
        </w:rPr>
        <w:t>a co-owner who has left common property due to domestic violence-related acts and thus is not able to co-possess it</w:t>
      </w:r>
      <w:r w:rsidR="0065714E" w:rsidRPr="00C961BD">
        <w:rPr>
          <w:rFonts w:ascii="Times New Roman" w:hAnsi="Times New Roman" w:cs="Times New Roman"/>
          <w:lang w:val="en-GB"/>
        </w:rPr>
        <w:t>.</w:t>
      </w:r>
    </w:p>
    <w:p w14:paraId="28B833EC" w14:textId="417D4E53" w:rsidR="00A43A41" w:rsidRPr="00C961BD" w:rsidRDefault="00A43A41" w:rsidP="00A43A41">
      <w:pPr>
        <w:pStyle w:val="ListParagraph"/>
        <w:spacing w:after="0" w:line="360" w:lineRule="auto"/>
        <w:rPr>
          <w:rFonts w:ascii="Times New Roman" w:hAnsi="Times New Roman" w:cs="Times New Roman"/>
          <w:lang w:val="en-GB"/>
        </w:rPr>
      </w:pPr>
    </w:p>
    <w:p w14:paraId="1A6F88B7" w14:textId="77777777" w:rsidR="007F61A6" w:rsidRPr="00C961BD" w:rsidRDefault="007F61A6" w:rsidP="004510F6">
      <w:pPr>
        <w:spacing w:after="0" w:line="360" w:lineRule="auto"/>
        <w:jc w:val="both"/>
        <w:rPr>
          <w:rFonts w:ascii="Times New Roman" w:hAnsi="Times New Roman" w:cs="Times New Roman"/>
          <w:lang w:val="en-GB"/>
        </w:rPr>
      </w:pPr>
    </w:p>
    <w:p w14:paraId="25F9FD36" w14:textId="77777777" w:rsidR="00271398" w:rsidRPr="00C961BD" w:rsidRDefault="00271398" w:rsidP="004510F6">
      <w:pPr>
        <w:spacing w:after="0" w:line="360" w:lineRule="auto"/>
        <w:jc w:val="both"/>
        <w:rPr>
          <w:rFonts w:ascii="Times New Roman" w:hAnsi="Times New Roman" w:cs="Times New Roman"/>
          <w:lang w:val="en-GB"/>
        </w:rPr>
      </w:pPr>
    </w:p>
    <w:p w14:paraId="2CBF63A8" w14:textId="77777777" w:rsidR="00271398" w:rsidRPr="00C961BD" w:rsidRDefault="00271398" w:rsidP="004510F6">
      <w:pPr>
        <w:spacing w:after="0" w:line="360" w:lineRule="auto"/>
        <w:jc w:val="both"/>
        <w:rPr>
          <w:rFonts w:ascii="Times New Roman" w:hAnsi="Times New Roman" w:cs="Times New Roman"/>
          <w:lang w:val="en-GB"/>
        </w:rPr>
      </w:pPr>
    </w:p>
    <w:p w14:paraId="52A3FCE4" w14:textId="77777777" w:rsidR="00271398" w:rsidRPr="00C961BD" w:rsidRDefault="00271398" w:rsidP="004510F6">
      <w:pPr>
        <w:spacing w:after="0" w:line="360" w:lineRule="auto"/>
        <w:jc w:val="both"/>
        <w:rPr>
          <w:rFonts w:ascii="Times New Roman" w:hAnsi="Times New Roman" w:cs="Times New Roman"/>
          <w:lang w:val="en-GB"/>
        </w:rPr>
      </w:pPr>
    </w:p>
    <w:p w14:paraId="6D5C40C5" w14:textId="01D81763" w:rsidR="00A43A41" w:rsidRPr="00C961BD" w:rsidRDefault="00180921" w:rsidP="00180921">
      <w:pPr>
        <w:spacing w:after="0" w:line="360" w:lineRule="auto"/>
        <w:jc w:val="both"/>
        <w:rPr>
          <w:rFonts w:ascii="Times New Roman" w:hAnsi="Times New Roman" w:cs="Times New Roman"/>
          <w:b/>
          <w:lang w:val="en-GB"/>
        </w:rPr>
      </w:pPr>
      <w:r w:rsidRPr="00C961BD">
        <w:rPr>
          <w:rFonts w:ascii="Times New Roman" w:hAnsi="Times New Roman" w:cs="Times New Roman"/>
          <w:b/>
          <w:lang w:val="en-GB"/>
        </w:rPr>
        <w:t xml:space="preserve">6. </w:t>
      </w:r>
      <w:r w:rsidR="00411571">
        <w:rPr>
          <w:rFonts w:ascii="Times New Roman" w:hAnsi="Times New Roman" w:cs="Times New Roman"/>
          <w:b/>
          <w:lang w:val="en-GB"/>
        </w:rPr>
        <w:t xml:space="preserve">(SECOND) </w:t>
      </w:r>
      <w:r w:rsidR="00BF7046">
        <w:rPr>
          <w:rFonts w:ascii="Times New Roman" w:hAnsi="Times New Roman" w:cs="Times New Roman"/>
          <w:b/>
          <w:lang w:val="en-GB"/>
        </w:rPr>
        <w:t>APPEAL BY PERMISSION</w:t>
      </w:r>
      <w:r w:rsidR="00A43A41" w:rsidRPr="00C961BD">
        <w:rPr>
          <w:rFonts w:ascii="Times New Roman" w:hAnsi="Times New Roman" w:cs="Times New Roman"/>
          <w:b/>
          <w:lang w:val="en-GB"/>
        </w:rPr>
        <w:t xml:space="preserve"> </w:t>
      </w:r>
    </w:p>
    <w:p w14:paraId="005F2428" w14:textId="0FFFE02E" w:rsidR="008B5732" w:rsidRPr="00C961BD" w:rsidRDefault="008B5732" w:rsidP="005702B8">
      <w:pPr>
        <w:spacing w:after="0" w:line="360" w:lineRule="auto"/>
        <w:jc w:val="center"/>
        <w:rPr>
          <w:rFonts w:ascii="Times New Roman" w:hAnsi="Times New Roman" w:cs="Times New Roman"/>
          <w:lang w:val="en-GB"/>
        </w:rPr>
      </w:pPr>
    </w:p>
    <w:p w14:paraId="11828FCC" w14:textId="511E9099" w:rsidR="00A0206E" w:rsidRPr="00C961BD" w:rsidRDefault="00310EE1" w:rsidP="006978A4">
      <w:pPr>
        <w:spacing w:after="0" w:line="360" w:lineRule="auto"/>
        <w:jc w:val="both"/>
        <w:rPr>
          <w:rFonts w:ascii="Times New Roman" w:hAnsi="Times New Roman" w:cs="Times New Roman"/>
          <w:lang w:val="en-GB"/>
        </w:rPr>
      </w:pPr>
      <w:bookmarkStart w:id="13" w:name="_Hlk121586723"/>
      <w:bookmarkStart w:id="14" w:name="_Hlk136976552"/>
      <w:r>
        <w:rPr>
          <w:rFonts w:ascii="Times New Roman" w:hAnsi="Times New Roman" w:cs="Times New Roman"/>
          <w:lang w:val="en-GB"/>
        </w:rPr>
        <w:t>What is imposed in the light of the 2019</w:t>
      </w:r>
      <w:r w:rsidR="0029655F" w:rsidRPr="00C961BD">
        <w:rPr>
          <w:rStyle w:val="FootnoteReference"/>
          <w:rFonts w:ascii="Times New Roman" w:hAnsi="Times New Roman" w:cs="Times New Roman"/>
          <w:lang w:val="en-GB"/>
        </w:rPr>
        <w:footnoteReference w:id="29"/>
      </w:r>
      <w:r w:rsidR="004510F6" w:rsidRPr="00C961BD">
        <w:rPr>
          <w:rFonts w:ascii="Times New Roman" w:hAnsi="Times New Roman" w:cs="Times New Roman"/>
          <w:lang w:val="en-GB"/>
        </w:rPr>
        <w:t xml:space="preserve"> </w:t>
      </w:r>
      <w:r>
        <w:rPr>
          <w:rFonts w:ascii="Times New Roman" w:hAnsi="Times New Roman" w:cs="Times New Roman"/>
          <w:lang w:val="en-GB"/>
        </w:rPr>
        <w:t>and</w:t>
      </w:r>
      <w:r w:rsidR="004510F6" w:rsidRPr="00C961BD">
        <w:rPr>
          <w:rFonts w:ascii="Times New Roman" w:hAnsi="Times New Roman" w:cs="Times New Roman"/>
          <w:lang w:val="en-GB"/>
        </w:rPr>
        <w:t xml:space="preserve"> 2022</w:t>
      </w:r>
      <w:r w:rsidR="0029655F" w:rsidRPr="00C961BD">
        <w:rPr>
          <w:rStyle w:val="FootnoteReference"/>
          <w:rFonts w:ascii="Times New Roman" w:hAnsi="Times New Roman" w:cs="Times New Roman"/>
          <w:lang w:val="en-GB"/>
        </w:rPr>
        <w:footnoteReference w:id="30"/>
      </w:r>
      <w:r w:rsidR="004510F6" w:rsidRPr="00C961BD">
        <w:rPr>
          <w:rFonts w:ascii="Times New Roman" w:hAnsi="Times New Roman" w:cs="Times New Roman"/>
          <w:lang w:val="en-GB"/>
        </w:rPr>
        <w:t xml:space="preserve"> </w:t>
      </w:r>
      <w:r>
        <w:rPr>
          <w:rFonts w:ascii="Times New Roman" w:hAnsi="Times New Roman" w:cs="Times New Roman"/>
          <w:lang w:val="en-GB"/>
        </w:rPr>
        <w:t>amendments to the Civil Procedure Act is the question of the legal effects of the stance of the SCRC with regard to the possibility of filing an appeal against judgements in cases revolving around claims for compensation for</w:t>
      </w:r>
      <w:r w:rsidRPr="00A37C35">
        <w:t xml:space="preserve"> </w:t>
      </w:r>
      <w:r w:rsidRPr="00A37C35">
        <w:rPr>
          <w:rFonts w:ascii="Times New Roman" w:hAnsi="Times New Roman" w:cs="Times New Roman"/>
          <w:lang w:val="en-GB"/>
        </w:rPr>
        <w:t xml:space="preserve">having used </w:t>
      </w:r>
      <w:r>
        <w:rPr>
          <w:rFonts w:ascii="Times New Roman" w:hAnsi="Times New Roman" w:cs="Times New Roman"/>
          <w:lang w:val="en-GB"/>
        </w:rPr>
        <w:t>common</w:t>
      </w:r>
      <w:r w:rsidRPr="00A37C35">
        <w:rPr>
          <w:rFonts w:ascii="Times New Roman" w:hAnsi="Times New Roman" w:cs="Times New Roman"/>
          <w:lang w:val="en-GB"/>
        </w:rPr>
        <w:t xml:space="preserve"> property or having benefited from it</w:t>
      </w:r>
      <w:bookmarkEnd w:id="14"/>
      <w:r w:rsidR="00AB3C77" w:rsidRPr="00C961BD">
        <w:rPr>
          <w:rFonts w:ascii="Times New Roman" w:hAnsi="Times New Roman" w:cs="Times New Roman"/>
          <w:lang w:val="en-GB"/>
        </w:rPr>
        <w:t>.</w:t>
      </w:r>
      <w:r w:rsidR="00181779" w:rsidRPr="00C961BD">
        <w:rPr>
          <w:rFonts w:ascii="Times New Roman" w:hAnsi="Times New Roman" w:cs="Times New Roman"/>
          <w:lang w:val="en-GB"/>
        </w:rPr>
        <w:t xml:space="preserve"> </w:t>
      </w:r>
      <w:r w:rsidR="00B413C2">
        <w:rPr>
          <w:rFonts w:ascii="Times New Roman" w:hAnsi="Times New Roman" w:cs="Times New Roman"/>
          <w:lang w:val="en-GB"/>
        </w:rPr>
        <w:t>The am</w:t>
      </w:r>
      <w:r w:rsidR="00096970">
        <w:rPr>
          <w:rFonts w:ascii="Times New Roman" w:hAnsi="Times New Roman" w:cs="Times New Roman"/>
          <w:lang w:val="en-GB"/>
        </w:rPr>
        <w:t>endments were aimed at new appeal regulation, based on which appeal has become redress</w:t>
      </w:r>
      <w:r w:rsidR="005D35C2" w:rsidRPr="00C961BD">
        <w:rPr>
          <w:rStyle w:val="FootnoteReference"/>
          <w:rFonts w:ascii="Times New Roman" w:hAnsi="Times New Roman" w:cs="Times New Roman"/>
          <w:lang w:val="en-GB"/>
        </w:rPr>
        <w:footnoteReference w:id="31"/>
      </w:r>
      <w:r w:rsidR="004168F2" w:rsidRPr="00C961BD">
        <w:rPr>
          <w:rFonts w:ascii="Times New Roman" w:hAnsi="Times New Roman" w:cs="Times New Roman"/>
          <w:lang w:val="en-GB"/>
        </w:rPr>
        <w:t xml:space="preserve"> (Poretti, Mišković, 2019 p. 505). </w:t>
      </w:r>
      <w:r w:rsidR="00096970">
        <w:rPr>
          <w:rFonts w:ascii="Times New Roman" w:hAnsi="Times New Roman" w:cs="Times New Roman"/>
          <w:lang w:val="en-GB"/>
        </w:rPr>
        <w:t xml:space="preserve">In fact, the 2019 amendments transformed appeal into redress with the intention to promote the role of SCRC in ensuring uniform application of law and </w:t>
      </w:r>
      <w:r w:rsidR="00D53A3E">
        <w:rPr>
          <w:rFonts w:ascii="Times New Roman" w:hAnsi="Times New Roman" w:cs="Times New Roman"/>
          <w:lang w:val="en-GB"/>
        </w:rPr>
        <w:t xml:space="preserve">corresponding </w:t>
      </w:r>
      <w:r w:rsidR="00096970">
        <w:rPr>
          <w:rFonts w:ascii="Times New Roman" w:hAnsi="Times New Roman" w:cs="Times New Roman"/>
          <w:lang w:val="en-GB"/>
        </w:rPr>
        <w:t xml:space="preserve">equality </w:t>
      </w:r>
      <w:r w:rsidR="00411571">
        <w:rPr>
          <w:rFonts w:ascii="Times New Roman" w:hAnsi="Times New Roman" w:cs="Times New Roman"/>
          <w:lang w:val="en-GB"/>
        </w:rPr>
        <w:t>for</w:t>
      </w:r>
      <w:r w:rsidR="00096970">
        <w:rPr>
          <w:rFonts w:ascii="Times New Roman" w:hAnsi="Times New Roman" w:cs="Times New Roman"/>
          <w:lang w:val="en-GB"/>
        </w:rPr>
        <w:t xml:space="preserve"> all</w:t>
      </w:r>
      <w:r w:rsidR="00FF1AE9" w:rsidRPr="00C961BD">
        <w:rPr>
          <w:rFonts w:ascii="Times New Roman" w:hAnsi="Times New Roman" w:cs="Times New Roman"/>
          <w:lang w:val="en-GB"/>
        </w:rPr>
        <w:t xml:space="preserve">. </w:t>
      </w:r>
      <w:proofErr w:type="gramStart"/>
      <w:r w:rsidR="00096970">
        <w:rPr>
          <w:rFonts w:ascii="Times New Roman" w:hAnsi="Times New Roman" w:cs="Times New Roman"/>
          <w:lang w:val="en-GB"/>
        </w:rPr>
        <w:t>Making a decision</w:t>
      </w:r>
      <w:proofErr w:type="gramEnd"/>
      <w:r w:rsidR="00096970">
        <w:rPr>
          <w:rFonts w:ascii="Times New Roman" w:hAnsi="Times New Roman" w:cs="Times New Roman"/>
          <w:lang w:val="en-GB"/>
        </w:rPr>
        <w:t xml:space="preserve"> on the permissibility of an appeal is now detached from</w:t>
      </w:r>
      <w:r w:rsidR="003B4925">
        <w:rPr>
          <w:rFonts w:ascii="Times New Roman" w:hAnsi="Times New Roman" w:cs="Times New Roman"/>
          <w:lang w:val="en-GB"/>
        </w:rPr>
        <w:t xml:space="preserve"> decision-making on its substance</w:t>
      </w:r>
      <w:r w:rsidR="00FF1AE9" w:rsidRPr="00C961BD">
        <w:rPr>
          <w:rFonts w:ascii="Times New Roman" w:hAnsi="Times New Roman" w:cs="Times New Roman"/>
          <w:lang w:val="en-GB"/>
        </w:rPr>
        <w:t xml:space="preserve">. </w:t>
      </w:r>
      <w:r w:rsidR="003B4925">
        <w:rPr>
          <w:rFonts w:ascii="Times New Roman" w:hAnsi="Times New Roman" w:cs="Times New Roman"/>
          <w:lang w:val="en-GB"/>
        </w:rPr>
        <w:t>The 2022 amendments regard appeal by permission of the SCRC as the only type of appeal (review)</w:t>
      </w:r>
      <w:r w:rsidR="004168F2" w:rsidRPr="00C961BD">
        <w:rPr>
          <w:lang w:val="en-GB"/>
        </w:rPr>
        <w:t xml:space="preserve"> </w:t>
      </w:r>
      <w:r w:rsidR="004168F2" w:rsidRPr="00C961BD">
        <w:rPr>
          <w:rFonts w:ascii="Times New Roman" w:hAnsi="Times New Roman" w:cs="Times New Roman"/>
          <w:lang w:val="en-GB"/>
        </w:rPr>
        <w:t>(Jug, Pajalić, 2022 p. 37).</w:t>
      </w:r>
      <w:r w:rsidR="005C0483" w:rsidRPr="00C961BD">
        <w:rPr>
          <w:rFonts w:ascii="Times New Roman" w:hAnsi="Times New Roman" w:cs="Times New Roman"/>
          <w:lang w:val="en-GB"/>
        </w:rPr>
        <w:t xml:space="preserve"> </w:t>
      </w:r>
      <w:r w:rsidR="003B4925">
        <w:rPr>
          <w:rFonts w:ascii="Times New Roman" w:hAnsi="Times New Roman" w:cs="Times New Roman"/>
          <w:lang w:val="en-GB"/>
        </w:rPr>
        <w:t xml:space="preserve">The SCRC shall permit an appeal if it can </w:t>
      </w:r>
      <w:r w:rsidR="00D53A3E">
        <w:rPr>
          <w:rFonts w:ascii="Times New Roman" w:hAnsi="Times New Roman" w:cs="Times New Roman"/>
          <w:lang w:val="en-GB"/>
        </w:rPr>
        <w:t>encourage a decision on an issue that has been elaborated by lower courts and is highly relevant</w:t>
      </w:r>
      <w:r w:rsidR="00147ABA" w:rsidRPr="00C961BD">
        <w:rPr>
          <w:rStyle w:val="FootnoteReference"/>
          <w:rFonts w:ascii="Times New Roman" w:hAnsi="Times New Roman" w:cs="Times New Roman"/>
          <w:lang w:val="en-GB"/>
        </w:rPr>
        <w:footnoteReference w:id="32"/>
      </w:r>
      <w:r w:rsidR="00AB41CE" w:rsidRPr="00C961BD">
        <w:rPr>
          <w:rFonts w:ascii="Times New Roman" w:hAnsi="Times New Roman" w:cs="Times New Roman"/>
          <w:lang w:val="en-GB"/>
        </w:rPr>
        <w:t xml:space="preserve"> </w:t>
      </w:r>
      <w:r w:rsidR="00D53A3E">
        <w:rPr>
          <w:rFonts w:ascii="Times New Roman" w:hAnsi="Times New Roman" w:cs="Times New Roman"/>
          <w:lang w:val="en-GB"/>
        </w:rPr>
        <w:t xml:space="preserve">for reaching a final decision in the dispute, for uniform application of law and corresponding equality </w:t>
      </w:r>
      <w:r w:rsidR="00411571">
        <w:rPr>
          <w:rFonts w:ascii="Times New Roman" w:hAnsi="Times New Roman" w:cs="Times New Roman"/>
          <w:lang w:val="en-GB"/>
        </w:rPr>
        <w:t>for</w:t>
      </w:r>
      <w:r w:rsidR="00D53A3E">
        <w:rPr>
          <w:rFonts w:ascii="Times New Roman" w:hAnsi="Times New Roman" w:cs="Times New Roman"/>
          <w:lang w:val="en-GB"/>
        </w:rPr>
        <w:t xml:space="preserve"> all or for judicial practice development</w:t>
      </w:r>
      <w:r w:rsidR="00AB41CE" w:rsidRPr="00C961BD">
        <w:rPr>
          <w:rFonts w:ascii="Times New Roman" w:hAnsi="Times New Roman" w:cs="Times New Roman"/>
          <w:lang w:val="en-GB"/>
        </w:rPr>
        <w:t>.</w:t>
      </w:r>
      <w:r w:rsidR="005C0483" w:rsidRPr="00C961BD">
        <w:rPr>
          <w:rStyle w:val="FootnoteReference"/>
          <w:rFonts w:ascii="Times New Roman" w:hAnsi="Times New Roman" w:cs="Times New Roman"/>
          <w:lang w:val="en-GB"/>
        </w:rPr>
        <w:footnoteReference w:id="33"/>
      </w:r>
      <w:r w:rsidR="00AB41CE" w:rsidRPr="00C961BD">
        <w:rPr>
          <w:rFonts w:ascii="Times New Roman" w:hAnsi="Times New Roman" w:cs="Times New Roman"/>
          <w:vertAlign w:val="superscript"/>
          <w:lang w:val="en-GB"/>
        </w:rPr>
        <w:t>,</w:t>
      </w:r>
      <w:r w:rsidR="00AB41CE" w:rsidRPr="00C961BD">
        <w:rPr>
          <w:rFonts w:ascii="Times New Roman" w:hAnsi="Times New Roman" w:cs="Times New Roman"/>
          <w:lang w:val="en-GB"/>
        </w:rPr>
        <w:t xml:space="preserve"> </w:t>
      </w:r>
      <w:r w:rsidR="00AB41CE" w:rsidRPr="00C961BD">
        <w:rPr>
          <w:rStyle w:val="FootnoteReference"/>
          <w:rFonts w:ascii="Times New Roman" w:hAnsi="Times New Roman" w:cs="Times New Roman"/>
          <w:lang w:val="en-GB"/>
        </w:rPr>
        <w:footnoteReference w:id="34"/>
      </w:r>
      <w:r w:rsidR="005C0483" w:rsidRPr="00C961BD">
        <w:rPr>
          <w:rFonts w:ascii="Times New Roman" w:hAnsi="Times New Roman" w:cs="Times New Roman"/>
          <w:lang w:val="en-GB"/>
        </w:rPr>
        <w:t xml:space="preserve"> </w:t>
      </w:r>
      <w:r w:rsidR="00D53A3E">
        <w:rPr>
          <w:rFonts w:ascii="Times New Roman" w:hAnsi="Times New Roman" w:cs="Times New Roman"/>
          <w:lang w:val="en-GB"/>
        </w:rPr>
        <w:t xml:space="preserve">There are some doubts whether the new regulation will impact the possibility of lodging this legal remedy in proceedings </w:t>
      </w:r>
      <w:r w:rsidR="004377B6">
        <w:rPr>
          <w:rFonts w:ascii="Times New Roman" w:hAnsi="Times New Roman" w:cs="Times New Roman"/>
          <w:lang w:val="en-GB"/>
        </w:rPr>
        <w:t>similar to those mentioned in this paper. More precisely, there is a chance that the SCRC permits, based on the above C</w:t>
      </w:r>
      <w:r w:rsidR="00411571">
        <w:rPr>
          <w:rFonts w:ascii="Times New Roman" w:hAnsi="Times New Roman" w:cs="Times New Roman"/>
          <w:lang w:val="en-GB"/>
        </w:rPr>
        <w:t>P</w:t>
      </w:r>
      <w:r w:rsidR="004377B6">
        <w:rPr>
          <w:rFonts w:ascii="Times New Roman" w:hAnsi="Times New Roman" w:cs="Times New Roman"/>
          <w:lang w:val="en-GB"/>
        </w:rPr>
        <w:t>A amendments, an appeal only in those proceedings which have already been tackled by it and the ruling of the second instance court is based on SCRC reasoning. However</w:t>
      </w:r>
      <w:r w:rsidR="00A0206E" w:rsidRPr="00C961BD">
        <w:rPr>
          <w:rFonts w:ascii="Times New Roman" w:hAnsi="Times New Roman" w:cs="Times New Roman"/>
          <w:lang w:val="en-GB"/>
        </w:rPr>
        <w:t xml:space="preserve">, </w:t>
      </w:r>
      <w:proofErr w:type="gramStart"/>
      <w:r w:rsidR="004377B6">
        <w:rPr>
          <w:rFonts w:ascii="Times New Roman" w:hAnsi="Times New Roman" w:cs="Times New Roman"/>
          <w:lang w:val="en-GB"/>
        </w:rPr>
        <w:t>taking into account</w:t>
      </w:r>
      <w:proofErr w:type="gramEnd"/>
      <w:r w:rsidR="004377B6">
        <w:rPr>
          <w:rFonts w:ascii="Times New Roman" w:hAnsi="Times New Roman" w:cs="Times New Roman"/>
          <w:lang w:val="en-GB"/>
        </w:rPr>
        <w:t xml:space="preserve"> the reasons presented in the first instance and appeal procee</w:t>
      </w:r>
      <w:r w:rsidR="006D02E5">
        <w:rPr>
          <w:rFonts w:ascii="Times New Roman" w:hAnsi="Times New Roman" w:cs="Times New Roman"/>
          <w:lang w:val="en-GB"/>
        </w:rPr>
        <w:t xml:space="preserve">dings, new legislation, international treaties and decisions of the Croatian Constitutional Court, European Court of </w:t>
      </w:r>
      <w:bookmarkStart w:id="17" w:name="_Hlk136964774"/>
      <w:r w:rsidR="006D02E5">
        <w:rPr>
          <w:rFonts w:ascii="Times New Roman" w:hAnsi="Times New Roman" w:cs="Times New Roman"/>
          <w:lang w:val="en-GB"/>
        </w:rPr>
        <w:lastRenderedPageBreak/>
        <w:t>Human Rights and Court of Justice of the European Union</w:t>
      </w:r>
      <w:bookmarkEnd w:id="17"/>
      <w:r w:rsidR="006D02E5">
        <w:rPr>
          <w:rFonts w:ascii="Times New Roman" w:hAnsi="Times New Roman" w:cs="Times New Roman"/>
          <w:lang w:val="en-GB"/>
        </w:rPr>
        <w:t xml:space="preserve">, </w:t>
      </w:r>
      <w:r w:rsidR="00411571">
        <w:rPr>
          <w:rFonts w:ascii="Times New Roman" w:hAnsi="Times New Roman" w:cs="Times New Roman"/>
          <w:lang w:val="en-GB"/>
        </w:rPr>
        <w:t>one can say that</w:t>
      </w:r>
      <w:r w:rsidR="006D02E5">
        <w:rPr>
          <w:rFonts w:ascii="Times New Roman" w:hAnsi="Times New Roman" w:cs="Times New Roman"/>
          <w:lang w:val="en-GB"/>
        </w:rPr>
        <w:t xml:space="preserve"> the relevant case-law should be reviewed</w:t>
      </w:r>
      <w:r w:rsidR="00A0206E" w:rsidRPr="00C961BD">
        <w:rPr>
          <w:rFonts w:ascii="Times New Roman" w:hAnsi="Times New Roman" w:cs="Times New Roman"/>
          <w:lang w:val="en-GB"/>
        </w:rPr>
        <w:t>.</w:t>
      </w:r>
      <w:r w:rsidR="00A0206E" w:rsidRPr="00C961BD">
        <w:rPr>
          <w:rStyle w:val="FootnoteReference"/>
          <w:rFonts w:ascii="Times New Roman" w:hAnsi="Times New Roman" w:cs="Times New Roman"/>
          <w:lang w:val="en-GB"/>
        </w:rPr>
        <w:footnoteReference w:id="35"/>
      </w:r>
      <w:r w:rsidR="00E64DC0" w:rsidRPr="00C961BD">
        <w:rPr>
          <w:rFonts w:ascii="Times New Roman" w:hAnsi="Times New Roman" w:cs="Times New Roman"/>
          <w:vertAlign w:val="superscript"/>
          <w:lang w:val="en-GB"/>
        </w:rPr>
        <w:t>,</w:t>
      </w:r>
      <w:r w:rsidR="00E64DC0" w:rsidRPr="00C961BD">
        <w:rPr>
          <w:rFonts w:ascii="Times New Roman" w:hAnsi="Times New Roman" w:cs="Times New Roman"/>
          <w:lang w:val="en-GB"/>
        </w:rPr>
        <w:t xml:space="preserve"> </w:t>
      </w:r>
      <w:r w:rsidR="00E64DC0" w:rsidRPr="00C961BD">
        <w:rPr>
          <w:rStyle w:val="FootnoteReference"/>
          <w:rFonts w:ascii="Times New Roman" w:hAnsi="Times New Roman" w:cs="Times New Roman"/>
          <w:lang w:val="en-GB"/>
        </w:rPr>
        <w:footnoteReference w:id="36"/>
      </w:r>
      <w:r w:rsidR="00A0206E" w:rsidRPr="00C961BD">
        <w:rPr>
          <w:rFonts w:ascii="Times New Roman" w:hAnsi="Times New Roman" w:cs="Times New Roman"/>
          <w:lang w:val="en-GB"/>
        </w:rPr>
        <w:t xml:space="preserve"> </w:t>
      </w:r>
    </w:p>
    <w:p w14:paraId="5F4B4DBC" w14:textId="2027B11A" w:rsidR="00E64DC0" w:rsidRPr="00C961BD" w:rsidRDefault="006D02E5" w:rsidP="006978A4">
      <w:pPr>
        <w:spacing w:after="0" w:line="360" w:lineRule="auto"/>
        <w:jc w:val="both"/>
        <w:rPr>
          <w:rFonts w:ascii="Times New Roman" w:hAnsi="Times New Roman" w:cs="Times New Roman"/>
          <w:lang w:val="en-GB"/>
        </w:rPr>
      </w:pPr>
      <w:r>
        <w:rPr>
          <w:rFonts w:ascii="Times New Roman" w:hAnsi="Times New Roman" w:cs="Times New Roman"/>
          <w:lang w:val="en-GB"/>
        </w:rPr>
        <w:t>Since the SCRC has already adopted a stance in the aforementioned proceedings, it can be assumed that the possibility of an appeal is reduced to review</w:t>
      </w:r>
      <w:r w:rsidR="00EF4B86">
        <w:rPr>
          <w:rFonts w:ascii="Times New Roman" w:hAnsi="Times New Roman" w:cs="Times New Roman"/>
          <w:lang w:val="en-GB"/>
        </w:rPr>
        <w:t xml:space="preserve"> of</w:t>
      </w:r>
      <w:r>
        <w:rPr>
          <w:rFonts w:ascii="Times New Roman" w:hAnsi="Times New Roman" w:cs="Times New Roman"/>
          <w:lang w:val="en-GB"/>
        </w:rPr>
        <w:t xml:space="preserve"> the relevant case-law as a result </w:t>
      </w:r>
      <w:r w:rsidR="00EF4B86">
        <w:rPr>
          <w:rFonts w:ascii="Times New Roman" w:hAnsi="Times New Roman" w:cs="Times New Roman"/>
          <w:lang w:val="en-GB"/>
        </w:rPr>
        <w:t>of the changes in the Croatian legal system, initiated under the influence of decisions of the Croatian Constitutional Court</w:t>
      </w:r>
      <w:r w:rsidR="00B221F6" w:rsidRPr="00C961BD">
        <w:rPr>
          <w:rFonts w:ascii="Times New Roman" w:hAnsi="Times New Roman" w:cs="Times New Roman"/>
          <w:lang w:val="en-GB"/>
        </w:rPr>
        <w:t>,</w:t>
      </w:r>
      <w:r w:rsidR="00EA57FA" w:rsidRPr="00C961BD">
        <w:rPr>
          <w:rStyle w:val="FootnoteReference"/>
          <w:rFonts w:ascii="Times New Roman" w:hAnsi="Times New Roman" w:cs="Times New Roman"/>
          <w:lang w:val="en-GB"/>
        </w:rPr>
        <w:footnoteReference w:id="37"/>
      </w:r>
      <w:r w:rsidR="00B221F6" w:rsidRPr="00C961BD">
        <w:rPr>
          <w:rFonts w:ascii="Times New Roman" w:hAnsi="Times New Roman" w:cs="Times New Roman"/>
          <w:lang w:val="en-GB"/>
        </w:rPr>
        <w:t xml:space="preserve"> </w:t>
      </w:r>
      <w:r w:rsidR="00EF4B86">
        <w:rPr>
          <w:rFonts w:ascii="Times New Roman" w:hAnsi="Times New Roman" w:cs="Times New Roman"/>
          <w:lang w:val="en-GB"/>
        </w:rPr>
        <w:t>European Court of Human Rights and Court of Justice of the European Union</w:t>
      </w:r>
      <w:r w:rsidR="00EA57FA" w:rsidRPr="00C961BD">
        <w:rPr>
          <w:rFonts w:ascii="Times New Roman" w:hAnsi="Times New Roman" w:cs="Times New Roman"/>
          <w:lang w:val="en-GB"/>
        </w:rPr>
        <w:t xml:space="preserve">. </w:t>
      </w:r>
      <w:r w:rsidR="00B31348">
        <w:rPr>
          <w:rFonts w:ascii="Times New Roman" w:hAnsi="Times New Roman" w:cs="Times New Roman"/>
          <w:lang w:val="en-GB"/>
        </w:rPr>
        <w:t>A</w:t>
      </w:r>
      <w:r w:rsidR="00F7654B">
        <w:rPr>
          <w:rFonts w:ascii="Times New Roman" w:hAnsi="Times New Roman" w:cs="Times New Roman"/>
          <w:lang w:val="en-GB"/>
        </w:rPr>
        <w:t>lso</w:t>
      </w:r>
      <w:r w:rsidR="00EA57FA" w:rsidRPr="00C961BD">
        <w:rPr>
          <w:rFonts w:ascii="Times New Roman" w:hAnsi="Times New Roman" w:cs="Times New Roman"/>
          <w:lang w:val="en-GB"/>
        </w:rPr>
        <w:t xml:space="preserve">, </w:t>
      </w:r>
      <w:r w:rsidR="00F7654B">
        <w:rPr>
          <w:rFonts w:ascii="Times New Roman" w:hAnsi="Times New Roman" w:cs="Times New Roman"/>
          <w:lang w:val="en-GB"/>
        </w:rPr>
        <w:t>since Article</w:t>
      </w:r>
      <w:r w:rsidR="00B221F6" w:rsidRPr="00C961BD">
        <w:rPr>
          <w:rFonts w:ascii="Times New Roman" w:hAnsi="Times New Roman" w:cs="Times New Roman"/>
          <w:lang w:val="en-GB"/>
        </w:rPr>
        <w:t xml:space="preserve"> 3</w:t>
      </w:r>
      <w:r w:rsidR="00F7654B">
        <w:rPr>
          <w:rFonts w:ascii="Times New Roman" w:hAnsi="Times New Roman" w:cs="Times New Roman"/>
          <w:lang w:val="en-GB"/>
        </w:rPr>
        <w:t xml:space="preserve"> of the Croatian Constitution</w:t>
      </w:r>
      <w:r w:rsidR="00B221F6" w:rsidRPr="00C961BD">
        <w:rPr>
          <w:rStyle w:val="FootnoteReference"/>
          <w:rFonts w:ascii="Times New Roman" w:hAnsi="Times New Roman" w:cs="Times New Roman"/>
          <w:lang w:val="en-GB"/>
        </w:rPr>
        <w:footnoteReference w:id="38"/>
      </w:r>
      <w:r w:rsidR="00B221F6" w:rsidRPr="00C961BD">
        <w:rPr>
          <w:rFonts w:ascii="Times New Roman" w:hAnsi="Times New Roman" w:cs="Times New Roman"/>
          <w:lang w:val="en-GB"/>
        </w:rPr>
        <w:t xml:space="preserve"> </w:t>
      </w:r>
      <w:r w:rsidR="00F7654B">
        <w:rPr>
          <w:rFonts w:ascii="Times New Roman" w:hAnsi="Times New Roman" w:cs="Times New Roman"/>
          <w:lang w:val="en-GB"/>
        </w:rPr>
        <w:t>depicts the in</w:t>
      </w:r>
      <w:r w:rsidR="00411571">
        <w:rPr>
          <w:rFonts w:ascii="Times New Roman" w:hAnsi="Times New Roman" w:cs="Times New Roman"/>
          <w:lang w:val="en-GB"/>
        </w:rPr>
        <w:t>viola</w:t>
      </w:r>
      <w:r w:rsidR="00F7654B">
        <w:rPr>
          <w:rFonts w:ascii="Times New Roman" w:hAnsi="Times New Roman" w:cs="Times New Roman"/>
          <w:lang w:val="en-GB"/>
        </w:rPr>
        <w:t xml:space="preserve">bility of property and ownership rights as one of the highest values of the constitutional order and since its Article </w:t>
      </w:r>
      <w:r w:rsidR="00B221F6" w:rsidRPr="00C961BD">
        <w:rPr>
          <w:rFonts w:ascii="Times New Roman" w:hAnsi="Times New Roman" w:cs="Times New Roman"/>
          <w:lang w:val="en-GB"/>
        </w:rPr>
        <w:t>48</w:t>
      </w:r>
      <w:r w:rsidR="00F7654B">
        <w:rPr>
          <w:rFonts w:ascii="Times New Roman" w:hAnsi="Times New Roman" w:cs="Times New Roman"/>
          <w:lang w:val="en-GB"/>
        </w:rPr>
        <w:t xml:space="preserve"> guarantees the right to property, </w:t>
      </w:r>
      <w:bookmarkStart w:id="18" w:name="_Hlk136976942"/>
      <w:r w:rsidR="00F7654B">
        <w:rPr>
          <w:rFonts w:ascii="Times New Roman" w:hAnsi="Times New Roman" w:cs="Times New Roman"/>
          <w:lang w:val="en-GB"/>
        </w:rPr>
        <w:t>it is to be expected that the workload of the Constitutional Court will grow</w:t>
      </w:r>
      <w:bookmarkEnd w:id="18"/>
      <w:r w:rsidR="00EC22ED" w:rsidRPr="00C961BD">
        <w:rPr>
          <w:rFonts w:ascii="Times New Roman" w:hAnsi="Times New Roman" w:cs="Times New Roman"/>
          <w:lang w:val="en-GB"/>
        </w:rPr>
        <w:t>.</w:t>
      </w:r>
      <w:r w:rsidR="00115D7C" w:rsidRPr="00C961BD">
        <w:rPr>
          <w:rStyle w:val="FootnoteReference"/>
          <w:rFonts w:ascii="Times New Roman" w:hAnsi="Times New Roman" w:cs="Times New Roman"/>
          <w:lang w:val="en-GB"/>
        </w:rPr>
        <w:footnoteReference w:id="39"/>
      </w:r>
      <w:r w:rsidR="006030BD" w:rsidRPr="00C961BD">
        <w:rPr>
          <w:rFonts w:ascii="Times New Roman" w:hAnsi="Times New Roman" w:cs="Times New Roman"/>
          <w:vertAlign w:val="superscript"/>
          <w:lang w:val="en-GB"/>
        </w:rPr>
        <w:t>,</w:t>
      </w:r>
      <w:r w:rsidR="005E1FE9" w:rsidRPr="00C961BD">
        <w:rPr>
          <w:rFonts w:ascii="Times New Roman" w:hAnsi="Times New Roman" w:cs="Times New Roman"/>
          <w:lang w:val="en-GB"/>
        </w:rPr>
        <w:t xml:space="preserve"> </w:t>
      </w:r>
      <w:r w:rsidR="006030BD" w:rsidRPr="00C961BD">
        <w:rPr>
          <w:rStyle w:val="FootnoteReference"/>
          <w:rFonts w:ascii="Times New Roman" w:hAnsi="Times New Roman" w:cs="Times New Roman"/>
          <w:lang w:val="en-GB"/>
        </w:rPr>
        <w:footnoteReference w:id="40"/>
      </w:r>
      <w:r w:rsidR="00EC22ED" w:rsidRPr="00C961BD">
        <w:rPr>
          <w:rFonts w:ascii="Times New Roman" w:hAnsi="Times New Roman" w:cs="Times New Roman"/>
          <w:lang w:val="en-GB"/>
        </w:rPr>
        <w:t xml:space="preserve"> </w:t>
      </w:r>
      <w:r w:rsidR="00F7654B">
        <w:rPr>
          <w:rFonts w:ascii="Times New Roman" w:hAnsi="Times New Roman" w:cs="Times New Roman"/>
          <w:lang w:val="en-GB"/>
        </w:rPr>
        <w:t>Yet, it should be pointed out that Article 62 of the Constitutional Act on the Constitutional Court of the Republic of Croatia</w:t>
      </w:r>
      <w:r w:rsidR="00EC22ED" w:rsidRPr="00C961BD">
        <w:rPr>
          <w:rStyle w:val="FootnoteReference"/>
          <w:rFonts w:ascii="Times New Roman" w:hAnsi="Times New Roman" w:cs="Times New Roman"/>
          <w:lang w:val="en-GB"/>
        </w:rPr>
        <w:footnoteReference w:id="41"/>
      </w:r>
      <w:r w:rsidR="00B221F6" w:rsidRPr="00C961BD">
        <w:rPr>
          <w:rFonts w:ascii="Times New Roman" w:hAnsi="Times New Roman" w:cs="Times New Roman"/>
          <w:lang w:val="en-GB"/>
        </w:rPr>
        <w:t xml:space="preserve"> </w:t>
      </w:r>
      <w:r w:rsidR="00CA69F9">
        <w:rPr>
          <w:rFonts w:ascii="Times New Roman" w:hAnsi="Times New Roman" w:cs="Times New Roman"/>
          <w:lang w:val="en-GB"/>
        </w:rPr>
        <w:t xml:space="preserve">stipulates </w:t>
      </w:r>
      <w:r w:rsidR="00F7654B">
        <w:rPr>
          <w:rFonts w:ascii="Times New Roman" w:hAnsi="Times New Roman" w:cs="Times New Roman"/>
          <w:lang w:val="en-GB"/>
        </w:rPr>
        <w:t>that everyone can lodge a constitutional complaint with the Cons</w:t>
      </w:r>
      <w:r w:rsidR="00CA69F9">
        <w:rPr>
          <w:rFonts w:ascii="Times New Roman" w:hAnsi="Times New Roman" w:cs="Times New Roman"/>
          <w:lang w:val="en-GB"/>
        </w:rPr>
        <w:t>titutional Court if he/she deems that state authorities have breached one of his/her human rights or fundamental freedoms guaranteed by the constitution</w:t>
      </w:r>
      <w:r w:rsidR="008F2071" w:rsidRPr="00C961BD">
        <w:rPr>
          <w:rFonts w:ascii="Times New Roman" w:hAnsi="Times New Roman" w:cs="Times New Roman"/>
          <w:lang w:val="en-GB"/>
        </w:rPr>
        <w:t xml:space="preserve">. </w:t>
      </w:r>
      <w:r w:rsidR="00CA69F9">
        <w:rPr>
          <w:rFonts w:ascii="Times New Roman" w:hAnsi="Times New Roman" w:cs="Times New Roman"/>
          <w:lang w:val="en-GB"/>
        </w:rPr>
        <w:t xml:space="preserve">If there is another legal pathway to defend his/her </w:t>
      </w:r>
      <w:r w:rsidR="00411571">
        <w:rPr>
          <w:rFonts w:ascii="Times New Roman" w:hAnsi="Times New Roman" w:cs="Times New Roman"/>
          <w:lang w:val="en-GB"/>
        </w:rPr>
        <w:t xml:space="preserve">allegedly </w:t>
      </w:r>
      <w:r w:rsidR="00CA69F9">
        <w:rPr>
          <w:rFonts w:ascii="Times New Roman" w:hAnsi="Times New Roman" w:cs="Times New Roman"/>
          <w:lang w:val="en-GB"/>
        </w:rPr>
        <w:t>violated rights, a person can lodge a constitutional complaint if that pathway has already been exhausted</w:t>
      </w:r>
      <w:r w:rsidR="008F2071" w:rsidRPr="00C961BD">
        <w:rPr>
          <w:rFonts w:ascii="Times New Roman" w:hAnsi="Times New Roman" w:cs="Times New Roman"/>
          <w:lang w:val="en-GB"/>
        </w:rPr>
        <w:t xml:space="preserve">. </w:t>
      </w:r>
      <w:r w:rsidR="00CA69F9">
        <w:rPr>
          <w:rFonts w:ascii="Times New Roman" w:hAnsi="Times New Roman" w:cs="Times New Roman"/>
          <w:lang w:val="en-GB"/>
        </w:rPr>
        <w:t xml:space="preserve">In cases in which an appeal is permitted, the legal pathway is regarded as exhausted if the </w:t>
      </w:r>
      <w:r w:rsidR="00CB2A41">
        <w:rPr>
          <w:rFonts w:ascii="Times New Roman" w:hAnsi="Times New Roman" w:cs="Times New Roman"/>
          <w:lang w:val="en-GB"/>
        </w:rPr>
        <w:t xml:space="preserve">application for </w:t>
      </w:r>
      <w:r w:rsidR="00CA69F9">
        <w:rPr>
          <w:rFonts w:ascii="Times New Roman" w:hAnsi="Times New Roman" w:cs="Times New Roman"/>
          <w:lang w:val="en-GB"/>
        </w:rPr>
        <w:t>appeal</w:t>
      </w:r>
      <w:r w:rsidR="00CB2A41">
        <w:rPr>
          <w:rFonts w:ascii="Times New Roman" w:hAnsi="Times New Roman" w:cs="Times New Roman"/>
          <w:lang w:val="en-GB"/>
        </w:rPr>
        <w:t xml:space="preserve"> permission</w:t>
      </w:r>
      <w:r w:rsidR="00CA69F9">
        <w:rPr>
          <w:rFonts w:ascii="Times New Roman" w:hAnsi="Times New Roman" w:cs="Times New Roman"/>
          <w:lang w:val="en-GB"/>
        </w:rPr>
        <w:t xml:space="preserve"> has been decided upon</w:t>
      </w:r>
      <w:r w:rsidR="008F2071" w:rsidRPr="00C961BD">
        <w:rPr>
          <w:rFonts w:ascii="Times New Roman" w:hAnsi="Times New Roman" w:cs="Times New Roman"/>
          <w:lang w:val="en-GB"/>
        </w:rPr>
        <w:t>.</w:t>
      </w:r>
      <w:r w:rsidR="00830DD0" w:rsidRPr="00C961BD">
        <w:rPr>
          <w:rFonts w:ascii="Times New Roman" w:hAnsi="Times New Roman" w:cs="Times New Roman"/>
          <w:lang w:val="en-GB"/>
        </w:rPr>
        <w:t xml:space="preserve"> </w:t>
      </w:r>
      <w:r w:rsidR="00CA69F9">
        <w:rPr>
          <w:rFonts w:ascii="Times New Roman" w:hAnsi="Times New Roman" w:cs="Times New Roman"/>
          <w:lang w:val="en-GB"/>
        </w:rPr>
        <w:t xml:space="preserve">To sum up, an appeal in cases with the features described in </w:t>
      </w:r>
      <w:r w:rsidR="00DC29CC">
        <w:rPr>
          <w:rFonts w:ascii="Times New Roman" w:hAnsi="Times New Roman" w:cs="Times New Roman"/>
          <w:lang w:val="en-GB"/>
        </w:rPr>
        <w:t xml:space="preserve">this </w:t>
      </w:r>
      <w:r w:rsidR="00CA69F9">
        <w:rPr>
          <w:rFonts w:ascii="Times New Roman" w:hAnsi="Times New Roman" w:cs="Times New Roman"/>
          <w:lang w:val="en-GB"/>
        </w:rPr>
        <w:t>paper</w:t>
      </w:r>
      <w:r w:rsidR="00DC29CC">
        <w:rPr>
          <w:rFonts w:ascii="Times New Roman" w:hAnsi="Times New Roman" w:cs="Times New Roman"/>
          <w:lang w:val="en-GB"/>
        </w:rPr>
        <w:t xml:space="preserve"> should be permitted if the Constitutional Court has already handled them and made a referring decision while a constitutional complaint can be lodged only if the </w:t>
      </w:r>
      <w:r w:rsidR="00411571">
        <w:rPr>
          <w:rFonts w:ascii="Times New Roman" w:hAnsi="Times New Roman" w:cs="Times New Roman"/>
          <w:lang w:val="en-GB"/>
        </w:rPr>
        <w:t xml:space="preserve">application for </w:t>
      </w:r>
      <w:r w:rsidR="00DC29CC">
        <w:rPr>
          <w:rFonts w:ascii="Times New Roman" w:hAnsi="Times New Roman" w:cs="Times New Roman"/>
          <w:lang w:val="en-GB"/>
        </w:rPr>
        <w:t>appeal</w:t>
      </w:r>
      <w:r w:rsidR="00411571">
        <w:rPr>
          <w:rFonts w:ascii="Times New Roman" w:hAnsi="Times New Roman" w:cs="Times New Roman"/>
          <w:lang w:val="en-GB"/>
        </w:rPr>
        <w:t xml:space="preserve"> permission</w:t>
      </w:r>
      <w:r w:rsidR="00DC29CC">
        <w:rPr>
          <w:rFonts w:ascii="Times New Roman" w:hAnsi="Times New Roman" w:cs="Times New Roman"/>
          <w:lang w:val="en-GB"/>
        </w:rPr>
        <w:t xml:space="preserve"> has already been decided upon</w:t>
      </w:r>
      <w:r w:rsidR="00CC5029" w:rsidRPr="00C961BD">
        <w:rPr>
          <w:rFonts w:ascii="Times New Roman" w:hAnsi="Times New Roman" w:cs="Times New Roman"/>
          <w:lang w:val="en-GB"/>
        </w:rPr>
        <w:t xml:space="preserve">. </w:t>
      </w:r>
      <w:r w:rsidR="00DC29CC">
        <w:rPr>
          <w:rFonts w:ascii="Times New Roman" w:hAnsi="Times New Roman" w:cs="Times New Roman"/>
          <w:lang w:val="en-GB"/>
        </w:rPr>
        <w:t>In real life, this</w:t>
      </w:r>
      <w:r w:rsidR="00CC5029" w:rsidRPr="00C961BD">
        <w:rPr>
          <w:rFonts w:ascii="Times New Roman" w:hAnsi="Times New Roman" w:cs="Times New Roman"/>
          <w:lang w:val="en-GB"/>
        </w:rPr>
        <w:t xml:space="preserve"> </w:t>
      </w:r>
      <w:r w:rsidR="00CC5029" w:rsidRPr="00C961BD">
        <w:rPr>
          <w:rFonts w:ascii="Times New Roman" w:hAnsi="Times New Roman" w:cs="Times New Roman"/>
          <w:i/>
          <w:iCs/>
          <w:lang w:val="en-GB"/>
        </w:rPr>
        <w:t>circulus vitiosus</w:t>
      </w:r>
      <w:r w:rsidR="00391C83" w:rsidRPr="00C961BD">
        <w:rPr>
          <w:rFonts w:ascii="Times New Roman" w:hAnsi="Times New Roman" w:cs="Times New Roman"/>
          <w:lang w:val="en-GB"/>
        </w:rPr>
        <w:t xml:space="preserve"> </w:t>
      </w:r>
      <w:r w:rsidR="00DC29CC">
        <w:rPr>
          <w:rFonts w:ascii="Times New Roman" w:hAnsi="Times New Roman" w:cs="Times New Roman"/>
          <w:lang w:val="en-GB"/>
        </w:rPr>
        <w:t xml:space="preserve">can be tackled by instructing the parties to </w:t>
      </w:r>
      <w:proofErr w:type="gramStart"/>
      <w:r w:rsidR="00DC29CC">
        <w:rPr>
          <w:rFonts w:ascii="Times New Roman" w:hAnsi="Times New Roman" w:cs="Times New Roman"/>
          <w:lang w:val="en-GB"/>
        </w:rPr>
        <w:t>submit an application</w:t>
      </w:r>
      <w:proofErr w:type="gramEnd"/>
      <w:r w:rsidR="00DC29CC">
        <w:rPr>
          <w:rFonts w:ascii="Times New Roman" w:hAnsi="Times New Roman" w:cs="Times New Roman"/>
          <w:lang w:val="en-GB"/>
        </w:rPr>
        <w:t xml:space="preserve"> for appeal permission to the SCRC and lodge a constitutional complaint to the Constitutional Court</w:t>
      </w:r>
      <w:r w:rsidR="00391C83" w:rsidRPr="00C961BD">
        <w:rPr>
          <w:rFonts w:ascii="Times New Roman" w:hAnsi="Times New Roman" w:cs="Times New Roman"/>
          <w:lang w:val="en-GB"/>
        </w:rPr>
        <w:t>.</w:t>
      </w:r>
      <w:r w:rsidR="00391C83" w:rsidRPr="00C961BD">
        <w:rPr>
          <w:rStyle w:val="FootnoteReference"/>
          <w:rFonts w:ascii="Times New Roman" w:hAnsi="Times New Roman" w:cs="Times New Roman"/>
          <w:lang w:val="en-GB"/>
        </w:rPr>
        <w:footnoteReference w:id="42"/>
      </w:r>
      <w:r w:rsidR="00391C83" w:rsidRPr="00C961BD">
        <w:rPr>
          <w:rFonts w:ascii="Times New Roman" w:hAnsi="Times New Roman" w:cs="Times New Roman"/>
          <w:lang w:val="en-GB"/>
        </w:rPr>
        <w:t xml:space="preserve"> </w:t>
      </w:r>
      <w:r w:rsidR="003C4199">
        <w:rPr>
          <w:rFonts w:ascii="Times New Roman" w:hAnsi="Times New Roman" w:cs="Times New Roman"/>
          <w:lang w:val="en-GB"/>
        </w:rPr>
        <w:t>Therefore</w:t>
      </w:r>
      <w:r w:rsidR="001B47FC" w:rsidRPr="00C961BD">
        <w:rPr>
          <w:rFonts w:ascii="Times New Roman" w:hAnsi="Times New Roman" w:cs="Times New Roman"/>
          <w:lang w:val="en-GB"/>
        </w:rPr>
        <w:t xml:space="preserve">, </w:t>
      </w:r>
      <w:r w:rsidR="003C4199">
        <w:rPr>
          <w:rFonts w:ascii="Times New Roman" w:hAnsi="Times New Roman" w:cs="Times New Roman"/>
          <w:lang w:val="en-GB"/>
        </w:rPr>
        <w:t xml:space="preserve">the Constitutional Court sends a notice of appeal (Croatian: revizijsko prismo) to applicants, informing them that it is going to suspend the </w:t>
      </w:r>
      <w:r w:rsidR="003C4199">
        <w:rPr>
          <w:rFonts w:ascii="Times New Roman" w:hAnsi="Times New Roman" w:cs="Times New Roman"/>
          <w:lang w:val="en-GB"/>
        </w:rPr>
        <w:lastRenderedPageBreak/>
        <w:t>decision-making on their constitutional complaint until the SCRC makes a decision on their application for appeal permission</w:t>
      </w:r>
      <w:r w:rsidR="000D3FC6" w:rsidRPr="00C961BD">
        <w:rPr>
          <w:rFonts w:ascii="Times New Roman" w:hAnsi="Times New Roman" w:cs="Times New Roman"/>
          <w:lang w:val="en-GB"/>
        </w:rPr>
        <w:t xml:space="preserve">. </w:t>
      </w:r>
      <w:r w:rsidR="003C4199">
        <w:rPr>
          <w:rFonts w:ascii="Times New Roman" w:hAnsi="Times New Roman" w:cs="Times New Roman"/>
          <w:lang w:val="en-GB"/>
        </w:rPr>
        <w:t>If an application for appeal permission is rejected, the applicant is obliged to immediately inform the Constitutional Court thereon, stating the reference number of his/her constitutional complaint</w:t>
      </w:r>
      <w:r w:rsidR="009B5885">
        <w:rPr>
          <w:rFonts w:ascii="Times New Roman" w:hAnsi="Times New Roman" w:cs="Times New Roman"/>
          <w:lang w:val="en-GB"/>
        </w:rPr>
        <w:t xml:space="preserve"> in a separate letter</w:t>
      </w:r>
      <w:r w:rsidR="000D3FC6" w:rsidRPr="00C961BD">
        <w:rPr>
          <w:rFonts w:ascii="Times New Roman" w:hAnsi="Times New Roman" w:cs="Times New Roman"/>
          <w:lang w:val="en-GB"/>
        </w:rPr>
        <w:t xml:space="preserve">. </w:t>
      </w:r>
      <w:r w:rsidR="009B5885">
        <w:rPr>
          <w:rFonts w:ascii="Times New Roman" w:hAnsi="Times New Roman" w:cs="Times New Roman"/>
          <w:lang w:val="en-GB"/>
        </w:rPr>
        <w:t>In the event that the SCRC permits the appeal, a new constitutional complaint can be lodged within 30 days after receiving the decision on appeal permission</w:t>
      </w:r>
      <w:r w:rsidR="00E64DC0" w:rsidRPr="00C961BD">
        <w:rPr>
          <w:rFonts w:ascii="Times New Roman" w:hAnsi="Times New Roman" w:cs="Times New Roman"/>
          <w:lang w:val="en-GB"/>
        </w:rPr>
        <w:t>.</w:t>
      </w:r>
      <w:r w:rsidR="000D3FC6" w:rsidRPr="00C961BD">
        <w:rPr>
          <w:rStyle w:val="FootnoteReference"/>
          <w:rFonts w:ascii="Times New Roman" w:hAnsi="Times New Roman" w:cs="Times New Roman"/>
          <w:lang w:val="en-GB"/>
        </w:rPr>
        <w:footnoteReference w:id="43"/>
      </w:r>
    </w:p>
    <w:p w14:paraId="44872670" w14:textId="5CCC169E" w:rsidR="00B855FE" w:rsidRPr="00C961BD" w:rsidRDefault="00BB101D" w:rsidP="006978A4">
      <w:pPr>
        <w:spacing w:after="0" w:line="360" w:lineRule="auto"/>
        <w:jc w:val="both"/>
        <w:rPr>
          <w:rFonts w:ascii="Times New Roman" w:hAnsi="Times New Roman" w:cs="Times New Roman"/>
          <w:lang w:val="en-GB"/>
        </w:rPr>
      </w:pPr>
      <w:r>
        <w:rPr>
          <w:rFonts w:ascii="Times New Roman" w:hAnsi="Times New Roman" w:cs="Times New Roman"/>
          <w:lang w:val="en-GB"/>
        </w:rPr>
        <w:t>On the other hand</w:t>
      </w:r>
      <w:r w:rsidR="00B855FE" w:rsidRPr="00C961BD">
        <w:rPr>
          <w:rFonts w:ascii="Times New Roman" w:hAnsi="Times New Roman" w:cs="Times New Roman"/>
          <w:lang w:val="en-GB"/>
        </w:rPr>
        <w:t xml:space="preserve">, </w:t>
      </w:r>
      <w:r w:rsidR="00FE2CF2">
        <w:rPr>
          <w:rFonts w:ascii="Times New Roman" w:hAnsi="Times New Roman" w:cs="Times New Roman"/>
          <w:lang w:val="en-GB"/>
        </w:rPr>
        <w:t xml:space="preserve">judges of the </w:t>
      </w:r>
      <w:r w:rsidR="00E7748C">
        <w:rPr>
          <w:rFonts w:ascii="Times New Roman" w:hAnsi="Times New Roman" w:cs="Times New Roman"/>
          <w:lang w:val="en-GB"/>
        </w:rPr>
        <w:t xml:space="preserve">SCRC believe that the new appeal regulation will be embraced by the CCRC since it is expected to considerably decrease the number of constitutional complaints. Their opinion is based on the fact that Article </w:t>
      </w:r>
      <w:r w:rsidR="00A93E19" w:rsidRPr="00C961BD">
        <w:rPr>
          <w:rFonts w:ascii="Times New Roman" w:hAnsi="Times New Roman" w:cs="Times New Roman"/>
          <w:lang w:val="en-GB"/>
        </w:rPr>
        <w:t xml:space="preserve">385.a </w:t>
      </w:r>
      <w:r w:rsidR="00E7748C">
        <w:rPr>
          <w:rFonts w:ascii="Times New Roman" w:hAnsi="Times New Roman" w:cs="Times New Roman"/>
          <w:lang w:val="en-GB"/>
        </w:rPr>
        <w:t>paragraph</w:t>
      </w:r>
      <w:r w:rsidR="00A93E19" w:rsidRPr="00C961BD">
        <w:rPr>
          <w:rFonts w:ascii="Times New Roman" w:hAnsi="Times New Roman" w:cs="Times New Roman"/>
          <w:lang w:val="en-GB"/>
        </w:rPr>
        <w:t xml:space="preserve"> 2</w:t>
      </w:r>
      <w:r w:rsidR="00E7748C">
        <w:rPr>
          <w:rFonts w:ascii="Times New Roman" w:hAnsi="Times New Roman" w:cs="Times New Roman"/>
          <w:lang w:val="en-GB"/>
        </w:rPr>
        <w:t xml:space="preserve"> of the CPA prescribes </w:t>
      </w:r>
      <w:r w:rsidR="00D91E56">
        <w:rPr>
          <w:rFonts w:ascii="Times New Roman" w:hAnsi="Times New Roman" w:cs="Times New Roman"/>
          <w:lang w:val="en-GB"/>
        </w:rPr>
        <w:t xml:space="preserve">that the SCRC shall permit an appeal if the party demonstrates that he/she </w:t>
      </w:r>
      <w:r w:rsidR="001D7EB1">
        <w:rPr>
          <w:rFonts w:ascii="Times New Roman" w:hAnsi="Times New Roman" w:cs="Times New Roman"/>
          <w:lang w:val="en-GB"/>
        </w:rPr>
        <w:t xml:space="preserve">has </w:t>
      </w:r>
      <w:r w:rsidR="00D91E56">
        <w:rPr>
          <w:rFonts w:ascii="Times New Roman" w:hAnsi="Times New Roman" w:cs="Times New Roman"/>
          <w:lang w:val="en-GB"/>
        </w:rPr>
        <w:t>experienced substantial violation of one of his/her fundamental human rights guaranteed by CRC and European Convention on Human Rights (right to a fair trial, right to an access to court, right to an effective remedy, right to an appeal, right to reasoning, right to home, right to peaceful enjoyment of possessions</w:t>
      </w:r>
      <w:r w:rsidR="001D7EB1">
        <w:rPr>
          <w:rFonts w:ascii="Times New Roman" w:hAnsi="Times New Roman" w:cs="Times New Roman"/>
          <w:lang w:val="en-GB"/>
        </w:rPr>
        <w:t>)</w:t>
      </w:r>
      <w:r w:rsidR="00D91E56">
        <w:rPr>
          <w:rFonts w:ascii="Times New Roman" w:hAnsi="Times New Roman" w:cs="Times New Roman"/>
          <w:lang w:val="en-GB"/>
        </w:rPr>
        <w:t xml:space="preserve"> </w:t>
      </w:r>
      <w:r w:rsidR="001D7EB1">
        <w:rPr>
          <w:rFonts w:ascii="Times New Roman" w:hAnsi="Times New Roman" w:cs="Times New Roman"/>
          <w:lang w:val="en-GB"/>
        </w:rPr>
        <w:t>in the first and second instance proceedings as a result of a severe breach of civil action rules and substantive law</w:t>
      </w:r>
      <w:r w:rsidR="00B46698" w:rsidRPr="00C961BD">
        <w:rPr>
          <w:rFonts w:ascii="Times New Roman" w:hAnsi="Times New Roman" w:cs="Times New Roman"/>
          <w:lang w:val="en-GB"/>
        </w:rPr>
        <w:t xml:space="preserve">, </w:t>
      </w:r>
      <w:r w:rsidR="001D7EB1">
        <w:rPr>
          <w:rFonts w:ascii="Times New Roman" w:hAnsi="Times New Roman" w:cs="Times New Roman"/>
          <w:lang w:val="en-GB"/>
        </w:rPr>
        <w:t>and that the party has, if possible, complained thereabout at lower instances</w:t>
      </w:r>
      <w:r w:rsidR="00B46698" w:rsidRPr="00C961BD">
        <w:rPr>
          <w:rFonts w:ascii="Times New Roman" w:hAnsi="Times New Roman" w:cs="Times New Roman"/>
          <w:lang w:val="en-GB"/>
        </w:rPr>
        <w:t xml:space="preserve">. </w:t>
      </w:r>
      <w:r w:rsidR="001D7EB1">
        <w:rPr>
          <w:rFonts w:ascii="Times New Roman" w:hAnsi="Times New Roman" w:cs="Times New Roman"/>
          <w:lang w:val="en-GB"/>
        </w:rPr>
        <w:t>Yet</w:t>
      </w:r>
      <w:r w:rsidR="00937B52" w:rsidRPr="00C961BD">
        <w:rPr>
          <w:rFonts w:ascii="Times New Roman" w:hAnsi="Times New Roman" w:cs="Times New Roman"/>
          <w:lang w:val="en-GB"/>
        </w:rPr>
        <w:t>,</w:t>
      </w:r>
      <w:r w:rsidR="00B46698" w:rsidRPr="00C961BD">
        <w:rPr>
          <w:rFonts w:ascii="Times New Roman" w:hAnsi="Times New Roman" w:cs="Times New Roman"/>
          <w:lang w:val="en-GB"/>
        </w:rPr>
        <w:t xml:space="preserve"> </w:t>
      </w:r>
      <w:r w:rsidR="001D7EB1">
        <w:rPr>
          <w:rFonts w:ascii="Times New Roman" w:hAnsi="Times New Roman" w:cs="Times New Roman"/>
          <w:lang w:val="en-GB"/>
        </w:rPr>
        <w:t>the same judges stress that illegality and irregularity at lower instances cannot be always interpreted as violation of fundamental human rights and the scope of second appeal should not be expanded much</w:t>
      </w:r>
      <w:r w:rsidR="00B46698" w:rsidRPr="00C961BD">
        <w:rPr>
          <w:rFonts w:ascii="Times New Roman" w:hAnsi="Times New Roman" w:cs="Times New Roman"/>
          <w:lang w:val="en-GB"/>
        </w:rPr>
        <w:t xml:space="preserve">. </w:t>
      </w:r>
      <w:r w:rsidR="001D7EB1">
        <w:rPr>
          <w:rFonts w:ascii="Times New Roman" w:hAnsi="Times New Roman" w:cs="Times New Roman"/>
          <w:lang w:val="en-GB"/>
        </w:rPr>
        <w:t xml:space="preserve">Finally, they hold that the parties should indicate possible violation of fundamental human rights already in the first instance proceedings since </w:t>
      </w:r>
      <w:r w:rsidR="00B3181A">
        <w:rPr>
          <w:rFonts w:ascii="Times New Roman" w:hAnsi="Times New Roman" w:cs="Times New Roman"/>
          <w:lang w:val="en-GB"/>
        </w:rPr>
        <w:t xml:space="preserve">such a legal pathway is promoted both by the CCRC and the European Court of Human Rights </w:t>
      </w:r>
      <w:r w:rsidR="004168F2" w:rsidRPr="00C961BD">
        <w:rPr>
          <w:rFonts w:ascii="Times New Roman" w:hAnsi="Times New Roman" w:cs="Times New Roman"/>
          <w:lang w:val="en-GB"/>
        </w:rPr>
        <w:t>(Jug, Pajalić, 2022 p. 38).</w:t>
      </w:r>
    </w:p>
    <w:p w14:paraId="0D4C9A07" w14:textId="470D1A39" w:rsidR="00F433E2" w:rsidRPr="00C961BD" w:rsidRDefault="00B3181A" w:rsidP="006978A4">
      <w:pPr>
        <w:spacing w:after="0" w:line="360" w:lineRule="auto"/>
        <w:jc w:val="both"/>
        <w:rPr>
          <w:rFonts w:ascii="Times New Roman" w:hAnsi="Times New Roman" w:cs="Times New Roman"/>
          <w:lang w:val="en-GB"/>
        </w:rPr>
      </w:pPr>
      <w:bookmarkStart w:id="20" w:name="_Hlk136977068"/>
      <w:r>
        <w:rPr>
          <w:rFonts w:ascii="Times New Roman" w:hAnsi="Times New Roman" w:cs="Times New Roman"/>
          <w:lang w:val="en-GB"/>
        </w:rPr>
        <w:t xml:space="preserve">What also has to be highlighted is that the chances of using the instrument of second appeal can be soon diminished due to the intention of the SCRC to focus on its case-law </w:t>
      </w:r>
      <w:r w:rsidR="00AB3EF6" w:rsidRPr="00C961BD">
        <w:rPr>
          <w:rFonts w:ascii="Times New Roman" w:hAnsi="Times New Roman" w:cs="Times New Roman"/>
          <w:lang w:val="en-GB"/>
        </w:rPr>
        <w:t xml:space="preserve">(Ljubenko, Nagy, 2022 p. 54), </w:t>
      </w:r>
      <w:r>
        <w:rPr>
          <w:rFonts w:ascii="Times New Roman" w:hAnsi="Times New Roman" w:cs="Times New Roman"/>
          <w:lang w:val="en-GB"/>
        </w:rPr>
        <w:t>which may be regarded as restriction of the right to a fair trial, guaranteed by Article 6 paragraph of the European Convention on Human Rights</w:t>
      </w:r>
      <w:bookmarkEnd w:id="20"/>
      <w:r w:rsidR="004355FD" w:rsidRPr="00C961BD">
        <w:rPr>
          <w:rFonts w:ascii="Times New Roman" w:hAnsi="Times New Roman" w:cs="Times New Roman"/>
          <w:lang w:val="en-GB"/>
        </w:rPr>
        <w:t>.</w:t>
      </w:r>
      <w:r w:rsidR="00B32D8E" w:rsidRPr="00C961BD">
        <w:rPr>
          <w:rStyle w:val="FootnoteReference"/>
          <w:rFonts w:ascii="Times New Roman" w:hAnsi="Times New Roman" w:cs="Times New Roman"/>
          <w:lang w:val="en-GB"/>
        </w:rPr>
        <w:footnoteReference w:id="44"/>
      </w:r>
      <w:r w:rsidR="004355FD" w:rsidRPr="00C961BD">
        <w:rPr>
          <w:rFonts w:ascii="Times New Roman" w:hAnsi="Times New Roman" w:cs="Times New Roman"/>
          <w:lang w:val="en-GB"/>
        </w:rPr>
        <w:t xml:space="preserve"> </w:t>
      </w:r>
      <w:r>
        <w:rPr>
          <w:rFonts w:ascii="Times New Roman" w:hAnsi="Times New Roman" w:cs="Times New Roman"/>
          <w:lang w:val="en-GB"/>
        </w:rPr>
        <w:t>The right to an access to court is deemed violated when the respective legal rules cease to serve as a tool for ensuring legal security and effectiveness of justice</w:t>
      </w:r>
      <w:r w:rsidR="00CB2A41">
        <w:rPr>
          <w:rFonts w:ascii="Times New Roman" w:hAnsi="Times New Roman" w:cs="Times New Roman"/>
          <w:lang w:val="en-GB"/>
        </w:rPr>
        <w:t>,</w:t>
      </w:r>
      <w:r>
        <w:rPr>
          <w:rFonts w:ascii="Times New Roman" w:hAnsi="Times New Roman" w:cs="Times New Roman"/>
          <w:lang w:val="en-GB"/>
        </w:rPr>
        <w:t xml:space="preserve"> and become an obstacle for the party to </w:t>
      </w:r>
      <w:r w:rsidR="003A6E35">
        <w:rPr>
          <w:rFonts w:ascii="Times New Roman" w:hAnsi="Times New Roman" w:cs="Times New Roman"/>
          <w:lang w:val="en-GB"/>
        </w:rPr>
        <w:t xml:space="preserve">plead his/her case before the court </w:t>
      </w:r>
      <w:r w:rsidR="00AB3EF6" w:rsidRPr="00C961BD">
        <w:rPr>
          <w:rFonts w:ascii="Times New Roman" w:hAnsi="Times New Roman" w:cs="Times New Roman"/>
          <w:lang w:val="en-GB"/>
        </w:rPr>
        <w:t xml:space="preserve">(Gović Penić, 2022 p 437). </w:t>
      </w:r>
      <w:r w:rsidR="003A6E35">
        <w:rPr>
          <w:rFonts w:ascii="Times New Roman" w:hAnsi="Times New Roman" w:cs="Times New Roman"/>
          <w:lang w:val="en-GB"/>
        </w:rPr>
        <w:t>In the end, the future will show whether the 2022 amendments to the CPA will accomplish the set gaols and simplify the appeal procedure or the number of constitutional complaints and applications submitted before the European Court of Human Rights will continue to rise</w:t>
      </w:r>
      <w:r w:rsidR="00D940D8" w:rsidRPr="00C961BD">
        <w:rPr>
          <w:rFonts w:ascii="Times New Roman" w:hAnsi="Times New Roman" w:cs="Times New Roman"/>
          <w:lang w:val="en-GB"/>
        </w:rPr>
        <w:t>.</w:t>
      </w:r>
    </w:p>
    <w:bookmarkEnd w:id="13"/>
    <w:p w14:paraId="6647F8DC" w14:textId="03473F12" w:rsidR="004510F6" w:rsidRPr="00C961BD" w:rsidRDefault="000D3FC6" w:rsidP="008F2071">
      <w:pPr>
        <w:spacing w:after="0" w:line="360" w:lineRule="auto"/>
        <w:ind w:firstLine="357"/>
        <w:jc w:val="both"/>
        <w:rPr>
          <w:rFonts w:ascii="Times New Roman" w:hAnsi="Times New Roman" w:cs="Times New Roman"/>
          <w:lang w:val="en-GB"/>
        </w:rPr>
      </w:pPr>
      <w:r w:rsidRPr="00C961BD">
        <w:rPr>
          <w:rFonts w:ascii="Times New Roman" w:hAnsi="Times New Roman" w:cs="Times New Roman"/>
          <w:lang w:val="en-GB"/>
        </w:rPr>
        <w:t xml:space="preserve"> </w:t>
      </w:r>
    </w:p>
    <w:p w14:paraId="4E8EE95C" w14:textId="77777777" w:rsidR="001849E0" w:rsidRPr="00C961BD" w:rsidRDefault="001849E0" w:rsidP="001849E0">
      <w:pPr>
        <w:spacing w:after="0" w:line="360" w:lineRule="auto"/>
        <w:rPr>
          <w:rFonts w:ascii="Times New Roman" w:hAnsi="Times New Roman" w:cs="Times New Roman"/>
          <w:lang w:val="en-GB"/>
        </w:rPr>
      </w:pPr>
    </w:p>
    <w:p w14:paraId="193DC6EA" w14:textId="30A9999E" w:rsidR="008B5732" w:rsidRPr="00C961BD" w:rsidRDefault="00180921" w:rsidP="00180921">
      <w:pPr>
        <w:spacing w:after="0" w:line="360" w:lineRule="auto"/>
        <w:jc w:val="both"/>
        <w:rPr>
          <w:rFonts w:ascii="Times New Roman" w:hAnsi="Times New Roman" w:cs="Times New Roman"/>
          <w:b/>
          <w:lang w:val="en-GB"/>
        </w:rPr>
      </w:pPr>
      <w:r w:rsidRPr="00C961BD">
        <w:rPr>
          <w:rFonts w:ascii="Times New Roman" w:hAnsi="Times New Roman" w:cs="Times New Roman"/>
          <w:b/>
          <w:lang w:val="en-GB"/>
        </w:rPr>
        <w:t xml:space="preserve">7. </w:t>
      </w:r>
      <w:r w:rsidR="003A6E35">
        <w:rPr>
          <w:rFonts w:ascii="Times New Roman" w:hAnsi="Times New Roman" w:cs="Times New Roman"/>
          <w:b/>
          <w:lang w:val="en-GB"/>
        </w:rPr>
        <w:t>CONCLUDING CONSIDERATIONS</w:t>
      </w:r>
    </w:p>
    <w:p w14:paraId="2C774D62" w14:textId="77E060DF" w:rsidR="00140342" w:rsidRPr="00C961BD" w:rsidRDefault="00140342" w:rsidP="00180921">
      <w:pPr>
        <w:pStyle w:val="ListParagraph"/>
        <w:spacing w:after="0" w:line="360" w:lineRule="auto"/>
        <w:rPr>
          <w:rFonts w:ascii="Times New Roman" w:hAnsi="Times New Roman" w:cs="Times New Roman"/>
          <w:lang w:val="en-GB"/>
        </w:rPr>
      </w:pPr>
    </w:p>
    <w:p w14:paraId="2A402461" w14:textId="14C56FD6" w:rsidR="001029F2" w:rsidRPr="00C961BD" w:rsidRDefault="003A6E35" w:rsidP="006978A4">
      <w:pPr>
        <w:spacing w:after="0" w:line="360" w:lineRule="auto"/>
        <w:jc w:val="both"/>
        <w:rPr>
          <w:rFonts w:ascii="Times New Roman" w:hAnsi="Times New Roman" w:cs="Times New Roman"/>
          <w:lang w:val="en-GB"/>
        </w:rPr>
      </w:pPr>
      <w:r w:rsidRPr="003A6E35">
        <w:rPr>
          <w:rFonts w:ascii="Times New Roman" w:hAnsi="Times New Roman" w:cs="Times New Roman"/>
          <w:lang w:val="en-GB"/>
        </w:rPr>
        <w:t xml:space="preserve">Some cases handled by Croatian courts have impelled the Supreme Court of the Republic of Croatia or more precisely, its Civil Law Department to adopt the stance, according to which </w:t>
      </w:r>
      <w:r w:rsidR="00CB2A41">
        <w:rPr>
          <w:rFonts w:ascii="Times New Roman" w:hAnsi="Times New Roman" w:cs="Times New Roman"/>
          <w:lang w:val="en-GB"/>
        </w:rPr>
        <w:t>a</w:t>
      </w:r>
      <w:r w:rsidRPr="003A6E35">
        <w:rPr>
          <w:rFonts w:ascii="Times New Roman" w:hAnsi="Times New Roman" w:cs="Times New Roman"/>
          <w:lang w:val="en-GB"/>
        </w:rPr>
        <w:t xml:space="preserve"> co-owner whose exercise of his/her ownership rights was not proportional to his/her fractional interests in the property shall compensate the co-owner who was not in possession of the property for all the benefits derived from such property use</w:t>
      </w:r>
      <w:r>
        <w:rPr>
          <w:rFonts w:ascii="Times New Roman" w:hAnsi="Times New Roman" w:cs="Times New Roman"/>
          <w:lang w:val="en-GB"/>
        </w:rPr>
        <w:t xml:space="preserve">. </w:t>
      </w:r>
      <w:r w:rsidR="0057539A" w:rsidRPr="0057539A">
        <w:rPr>
          <w:rFonts w:ascii="Times New Roman" w:hAnsi="Times New Roman" w:cs="Times New Roman"/>
          <w:lang w:val="en-GB"/>
        </w:rPr>
        <w:t>On such an occasion, the claim does not have to include a request for surrender of the property (thing) if the (co</w:t>
      </w:r>
      <w:r w:rsidR="00CB2A41">
        <w:rPr>
          <w:rFonts w:ascii="Times New Roman" w:hAnsi="Times New Roman" w:cs="Times New Roman"/>
          <w:lang w:val="en-GB"/>
        </w:rPr>
        <w:t>-</w:t>
      </w:r>
      <w:r w:rsidR="0057539A" w:rsidRPr="0057539A">
        <w:rPr>
          <w:rFonts w:ascii="Times New Roman" w:hAnsi="Times New Roman" w:cs="Times New Roman"/>
          <w:lang w:val="en-GB"/>
        </w:rPr>
        <w:t>)owner has expressed his/her will to possess the property in an appropriate way</w:t>
      </w:r>
      <w:r w:rsidR="00140342" w:rsidRPr="00C961BD">
        <w:rPr>
          <w:rFonts w:ascii="Times New Roman" w:hAnsi="Times New Roman" w:cs="Times New Roman"/>
          <w:lang w:val="en-GB"/>
        </w:rPr>
        <w:t xml:space="preserve">. </w:t>
      </w:r>
      <w:r w:rsidR="0057539A" w:rsidRPr="0057539A">
        <w:rPr>
          <w:rFonts w:ascii="Times New Roman" w:hAnsi="Times New Roman" w:cs="Times New Roman"/>
          <w:lang w:val="en-GB"/>
        </w:rPr>
        <w:t xml:space="preserve">In </w:t>
      </w:r>
      <w:r w:rsidR="0057539A">
        <w:rPr>
          <w:rFonts w:ascii="Times New Roman" w:hAnsi="Times New Roman" w:cs="Times New Roman"/>
          <w:lang w:val="en-GB"/>
        </w:rPr>
        <w:t xml:space="preserve">the </w:t>
      </w:r>
      <w:r w:rsidR="0057539A" w:rsidRPr="0057539A">
        <w:rPr>
          <w:rFonts w:ascii="Times New Roman" w:hAnsi="Times New Roman" w:cs="Times New Roman"/>
          <w:lang w:val="en-GB"/>
        </w:rPr>
        <w:t xml:space="preserve">referring judicial proceedings, the claimants seek surrender of possession from the respondents, i.e.  co-owners of property (thing) or vice versa, the respondents have taken possession of the claimants’ share in the property and refuse to provide them with co-possession. The claimants are granted the right to compensation since the respondents used the property and benefited from it during the time of their possession. Therefore, the court provided the claimants with compensation in the form of forgone </w:t>
      </w:r>
      <w:r w:rsidR="0057539A">
        <w:rPr>
          <w:rFonts w:ascii="Times New Roman" w:hAnsi="Times New Roman" w:cs="Times New Roman"/>
          <w:lang w:val="en-GB"/>
        </w:rPr>
        <w:t>benefit</w:t>
      </w:r>
      <w:r w:rsidR="00CB2A41">
        <w:rPr>
          <w:rFonts w:ascii="Times New Roman" w:hAnsi="Times New Roman" w:cs="Times New Roman"/>
          <w:lang w:val="en-GB"/>
        </w:rPr>
        <w:t>s</w:t>
      </w:r>
      <w:r w:rsidR="0057539A" w:rsidRPr="0057539A">
        <w:rPr>
          <w:rFonts w:ascii="Times New Roman" w:hAnsi="Times New Roman" w:cs="Times New Roman"/>
          <w:lang w:val="en-GB"/>
        </w:rPr>
        <w:t xml:space="preserve"> (i.e. rent for using the claimant’s share in the property)</w:t>
      </w:r>
      <w:r w:rsidR="00140342" w:rsidRPr="00C961BD">
        <w:rPr>
          <w:rFonts w:ascii="Times New Roman" w:hAnsi="Times New Roman" w:cs="Times New Roman"/>
          <w:lang w:val="en-GB"/>
        </w:rPr>
        <w:t xml:space="preserve">. </w:t>
      </w:r>
    </w:p>
    <w:p w14:paraId="5D679464" w14:textId="344E92F6" w:rsidR="00140342" w:rsidRPr="00C961BD" w:rsidRDefault="0057539A" w:rsidP="006978A4">
      <w:pPr>
        <w:spacing w:after="0" w:line="360" w:lineRule="auto"/>
        <w:jc w:val="both"/>
        <w:rPr>
          <w:rFonts w:ascii="Times New Roman" w:hAnsi="Times New Roman" w:cs="Times New Roman"/>
          <w:lang w:val="en-GB"/>
        </w:rPr>
      </w:pPr>
      <w:r w:rsidRPr="0057539A">
        <w:rPr>
          <w:rFonts w:ascii="Times New Roman" w:hAnsi="Times New Roman" w:cs="Times New Roman"/>
          <w:lang w:val="en-GB"/>
        </w:rPr>
        <w:t xml:space="preserve">What is imposed here is the question what means that the (co)-owner’s will shall be expressed in a way convenient to detect an intention to possess property (thing)? This legal standard is expected to provide the court with the possibility to adapt the legal standards to the needs of </w:t>
      </w:r>
      <w:r w:rsidR="00CB2A41">
        <w:rPr>
          <w:rFonts w:ascii="Times New Roman" w:hAnsi="Times New Roman" w:cs="Times New Roman"/>
          <w:lang w:val="en-GB"/>
        </w:rPr>
        <w:t>a</w:t>
      </w:r>
      <w:r w:rsidRPr="0057539A">
        <w:rPr>
          <w:rFonts w:ascii="Times New Roman" w:hAnsi="Times New Roman" w:cs="Times New Roman"/>
          <w:lang w:val="en-GB"/>
        </w:rPr>
        <w:t xml:space="preserve"> concrete case</w:t>
      </w:r>
      <w:r w:rsidR="00140342" w:rsidRPr="00C961BD">
        <w:rPr>
          <w:rFonts w:ascii="Times New Roman" w:hAnsi="Times New Roman" w:cs="Times New Roman"/>
          <w:lang w:val="en-GB"/>
        </w:rPr>
        <w:t>.</w:t>
      </w:r>
      <w:r w:rsidR="00111074" w:rsidRPr="00C961BD">
        <w:rPr>
          <w:rFonts w:ascii="Times New Roman" w:hAnsi="Times New Roman" w:cs="Times New Roman"/>
          <w:lang w:val="en-GB"/>
        </w:rPr>
        <w:t xml:space="preserve"> </w:t>
      </w:r>
      <w:r>
        <w:rPr>
          <w:rFonts w:ascii="Times New Roman" w:hAnsi="Times New Roman" w:cs="Times New Roman"/>
          <w:lang w:val="en-GB"/>
        </w:rPr>
        <w:t>One of the key elements for making the right decision in such cases is the way in which surrender of possession is sought and carried out</w:t>
      </w:r>
      <w:r w:rsidR="00140342" w:rsidRPr="00C961BD">
        <w:rPr>
          <w:rFonts w:ascii="Times New Roman" w:hAnsi="Times New Roman" w:cs="Times New Roman"/>
          <w:lang w:val="en-GB"/>
        </w:rPr>
        <w:t xml:space="preserve">. </w:t>
      </w:r>
      <w:r w:rsidRPr="0057539A">
        <w:rPr>
          <w:rFonts w:ascii="Times New Roman" w:hAnsi="Times New Roman" w:cs="Times New Roman"/>
          <w:lang w:val="en-GB"/>
        </w:rPr>
        <w:t>In real life, direct surrender does not mean bringing the acquiring into the property but handing over instruments for controlling the property possession, e.g. front door keys</w:t>
      </w:r>
      <w:r w:rsidR="00140342" w:rsidRPr="00C961BD">
        <w:rPr>
          <w:rFonts w:ascii="Times New Roman" w:hAnsi="Times New Roman" w:cs="Times New Roman"/>
          <w:lang w:val="en-GB"/>
        </w:rPr>
        <w:t>.</w:t>
      </w:r>
      <w:r w:rsidR="001029F2" w:rsidRPr="00C961BD">
        <w:rPr>
          <w:rFonts w:ascii="Times New Roman" w:hAnsi="Times New Roman" w:cs="Times New Roman"/>
          <w:lang w:val="en-GB"/>
        </w:rPr>
        <w:t xml:space="preserve"> </w:t>
      </w:r>
      <w:r w:rsidRPr="0057539A">
        <w:rPr>
          <w:rFonts w:ascii="Times New Roman" w:hAnsi="Times New Roman" w:cs="Times New Roman"/>
          <w:lang w:val="en-GB"/>
        </w:rPr>
        <w:t xml:space="preserve">In this light, the judiciary believes that it is of utmost importance to come into possession of a property possession controlling instrument to come into possession of the property itself and that cannot always be achieved by obtaining a </w:t>
      </w:r>
      <w:r>
        <w:rPr>
          <w:rFonts w:ascii="Times New Roman" w:hAnsi="Times New Roman" w:cs="Times New Roman"/>
          <w:lang w:val="en-GB"/>
        </w:rPr>
        <w:t>simple</w:t>
      </w:r>
      <w:r w:rsidRPr="0057539A">
        <w:rPr>
          <w:rFonts w:ascii="Times New Roman" w:hAnsi="Times New Roman" w:cs="Times New Roman"/>
          <w:lang w:val="en-GB"/>
        </w:rPr>
        <w:t xml:space="preserve"> approval for entering the property</w:t>
      </w:r>
      <w:r w:rsidR="00140342" w:rsidRPr="00C961BD">
        <w:rPr>
          <w:rFonts w:ascii="Times New Roman" w:hAnsi="Times New Roman" w:cs="Times New Roman"/>
          <w:lang w:val="en-GB"/>
        </w:rPr>
        <w:t>.</w:t>
      </w:r>
    </w:p>
    <w:p w14:paraId="08BD1620" w14:textId="6B283100" w:rsidR="00140342" w:rsidRPr="00C961BD" w:rsidRDefault="00F90DBE" w:rsidP="006978A4">
      <w:pPr>
        <w:spacing w:after="0" w:line="360" w:lineRule="auto"/>
        <w:jc w:val="both"/>
        <w:rPr>
          <w:rFonts w:ascii="Times New Roman" w:hAnsi="Times New Roman" w:cs="Times New Roman"/>
          <w:lang w:val="en-GB"/>
        </w:rPr>
      </w:pPr>
      <w:r>
        <w:rPr>
          <w:rFonts w:ascii="Times New Roman" w:hAnsi="Times New Roman" w:cs="Times New Roman"/>
          <w:lang w:val="en-GB"/>
        </w:rPr>
        <w:t>What bears enormous relevance in this context are</w:t>
      </w:r>
      <w:r w:rsidRPr="00F90DBE">
        <w:rPr>
          <w:rFonts w:ascii="Times New Roman" w:hAnsi="Times New Roman" w:cs="Times New Roman"/>
          <w:lang w:val="en-GB"/>
        </w:rPr>
        <w:t xml:space="preserve"> situation</w:t>
      </w:r>
      <w:r>
        <w:rPr>
          <w:rFonts w:ascii="Times New Roman" w:hAnsi="Times New Roman" w:cs="Times New Roman"/>
          <w:lang w:val="en-GB"/>
        </w:rPr>
        <w:t>s</w:t>
      </w:r>
      <w:r w:rsidRPr="00F90DBE">
        <w:rPr>
          <w:rFonts w:ascii="Times New Roman" w:hAnsi="Times New Roman" w:cs="Times New Roman"/>
          <w:lang w:val="en-GB"/>
        </w:rPr>
        <w:t xml:space="preserve"> where the relationship between property co-owners is so hampered that property co-possession is not possible and then one co-owner leaves the property voluntarily</w:t>
      </w:r>
      <w:r w:rsidR="009E1EA1" w:rsidRPr="00C961BD">
        <w:rPr>
          <w:rFonts w:ascii="Times New Roman" w:hAnsi="Times New Roman" w:cs="Times New Roman"/>
          <w:lang w:val="en-GB"/>
        </w:rPr>
        <w:t xml:space="preserve">. </w:t>
      </w:r>
      <w:r w:rsidRPr="00F90DBE">
        <w:rPr>
          <w:rFonts w:ascii="Times New Roman" w:hAnsi="Times New Roman" w:cs="Times New Roman"/>
          <w:lang w:val="en-GB"/>
        </w:rPr>
        <w:t>Consequently, with the aim to ensure legal security and uniform application of law, the legislator should adopt a special rule which would regulate situations in which a co-owner who does not want co-possession of property, shall be entitled to compensation without clearly expressing his/her will to possess the respective property</w:t>
      </w:r>
      <w:r w:rsidR="00140342" w:rsidRPr="00C961BD">
        <w:rPr>
          <w:rFonts w:ascii="Times New Roman" w:hAnsi="Times New Roman" w:cs="Times New Roman"/>
          <w:lang w:val="en-GB"/>
        </w:rPr>
        <w:t xml:space="preserve">. </w:t>
      </w:r>
      <w:r w:rsidRPr="00F90DBE">
        <w:rPr>
          <w:rFonts w:ascii="Times New Roman" w:hAnsi="Times New Roman" w:cs="Times New Roman"/>
          <w:lang w:val="en-GB"/>
        </w:rPr>
        <w:t>Indeed, the Act on the Protection against Domestic Violence could include an irrebuttable presumption of fact (praesumptio juris et de jure), according to which it could be automatically assumed that a person, victim of domestic violence, due to which he/she has left the respective property, has expressed his/her will for property possession in a proper way</w:t>
      </w:r>
      <w:r w:rsidR="00140342" w:rsidRPr="00C961BD">
        <w:rPr>
          <w:rFonts w:ascii="Times New Roman" w:hAnsi="Times New Roman" w:cs="Times New Roman"/>
          <w:lang w:val="en-GB"/>
        </w:rPr>
        <w:t>.</w:t>
      </w:r>
      <w:r w:rsidR="001029F2" w:rsidRPr="00C961BD">
        <w:rPr>
          <w:rFonts w:ascii="Times New Roman" w:hAnsi="Times New Roman" w:cs="Times New Roman"/>
          <w:lang w:val="en-GB"/>
        </w:rPr>
        <w:t xml:space="preserve"> </w:t>
      </w:r>
      <w:r w:rsidRPr="00F90DBE">
        <w:rPr>
          <w:rFonts w:ascii="Times New Roman" w:hAnsi="Times New Roman" w:cs="Times New Roman"/>
          <w:lang w:val="en-GB"/>
        </w:rPr>
        <w:t>That way, the legislator would recognize and protect the prevalence of the interest to protect a person from economic violence over the interest of the perpetrator and over the substantive truth-finding principle in a litigation</w:t>
      </w:r>
      <w:r>
        <w:rPr>
          <w:rFonts w:ascii="Times New Roman" w:hAnsi="Times New Roman" w:cs="Times New Roman"/>
          <w:lang w:val="en-GB"/>
        </w:rPr>
        <w:t xml:space="preserve"> (civil action)</w:t>
      </w:r>
      <w:r w:rsidR="00140342" w:rsidRPr="00C961BD">
        <w:rPr>
          <w:rFonts w:ascii="Times New Roman" w:hAnsi="Times New Roman" w:cs="Times New Roman"/>
          <w:lang w:val="en-GB"/>
        </w:rPr>
        <w:t xml:space="preserve">.  </w:t>
      </w:r>
    </w:p>
    <w:p w14:paraId="6D2695BE" w14:textId="301F9B2C" w:rsidR="00140342" w:rsidRPr="00C961BD" w:rsidRDefault="00F90DBE" w:rsidP="006978A4">
      <w:pPr>
        <w:spacing w:after="0" w:line="360" w:lineRule="auto"/>
        <w:jc w:val="both"/>
        <w:rPr>
          <w:rFonts w:ascii="Times New Roman" w:hAnsi="Times New Roman" w:cs="Times New Roman"/>
          <w:lang w:val="en-GB"/>
        </w:rPr>
      </w:pPr>
      <w:r w:rsidRPr="00F90DBE">
        <w:rPr>
          <w:rFonts w:ascii="Times New Roman" w:hAnsi="Times New Roman" w:cs="Times New Roman"/>
          <w:lang w:val="en-GB"/>
        </w:rPr>
        <w:lastRenderedPageBreak/>
        <w:t>What is imposed in the light of the 2019 and 2022 amendments to the Civil Procedure Act is the question of the legal effects of the stance of the SCRC with regard to the possibility of filing an appeal against judgements in cases revolving around claims for compensation for having used common property or having benefited from it</w:t>
      </w:r>
      <w:r w:rsidR="00140342" w:rsidRPr="00C961BD">
        <w:rPr>
          <w:rFonts w:ascii="Times New Roman" w:hAnsi="Times New Roman" w:cs="Times New Roman"/>
          <w:lang w:val="en-GB"/>
        </w:rPr>
        <w:t xml:space="preserve">. </w:t>
      </w:r>
      <w:r w:rsidRPr="00F90DBE">
        <w:rPr>
          <w:rFonts w:ascii="Times New Roman" w:hAnsi="Times New Roman" w:cs="Times New Roman"/>
          <w:lang w:val="en-GB"/>
        </w:rPr>
        <w:t>More precisely, there is a chance that the SCRC permits</w:t>
      </w:r>
      <w:r>
        <w:rPr>
          <w:rFonts w:ascii="Times New Roman" w:hAnsi="Times New Roman" w:cs="Times New Roman"/>
          <w:lang w:val="en-GB"/>
        </w:rPr>
        <w:t xml:space="preserve"> </w:t>
      </w:r>
      <w:r w:rsidRPr="00F90DBE">
        <w:rPr>
          <w:rFonts w:ascii="Times New Roman" w:hAnsi="Times New Roman" w:cs="Times New Roman"/>
          <w:lang w:val="en-GB"/>
        </w:rPr>
        <w:t xml:space="preserve">an appeal only in those proceedings which have already been tackled by it and the ruling of the second instance court is based on SCRC reasoning. However, </w:t>
      </w:r>
      <w:proofErr w:type="gramStart"/>
      <w:r w:rsidRPr="00F90DBE">
        <w:rPr>
          <w:rFonts w:ascii="Times New Roman" w:hAnsi="Times New Roman" w:cs="Times New Roman"/>
          <w:lang w:val="en-GB"/>
        </w:rPr>
        <w:t>taking into account</w:t>
      </w:r>
      <w:proofErr w:type="gramEnd"/>
      <w:r w:rsidRPr="00F90DBE">
        <w:rPr>
          <w:rFonts w:ascii="Times New Roman" w:hAnsi="Times New Roman" w:cs="Times New Roman"/>
          <w:lang w:val="en-GB"/>
        </w:rPr>
        <w:t xml:space="preserve"> the reasons presented in the first instance and appeal proceedings, new legislation, international treaties and decisions of the Croatian Constitutional Court, European Court of Human Rights and Court of Justice of the European Union, </w:t>
      </w:r>
      <w:r w:rsidR="00CB2A41">
        <w:rPr>
          <w:rFonts w:ascii="Times New Roman" w:hAnsi="Times New Roman" w:cs="Times New Roman"/>
          <w:lang w:val="en-GB"/>
        </w:rPr>
        <w:t>one can say that</w:t>
      </w:r>
      <w:r w:rsidRPr="00F90DBE">
        <w:rPr>
          <w:rFonts w:ascii="Times New Roman" w:hAnsi="Times New Roman" w:cs="Times New Roman"/>
          <w:lang w:val="en-GB"/>
        </w:rPr>
        <w:t xml:space="preserve"> the relevant case-law should be reviewed</w:t>
      </w:r>
      <w:r>
        <w:rPr>
          <w:rFonts w:ascii="Times New Roman" w:hAnsi="Times New Roman" w:cs="Times New Roman"/>
          <w:lang w:val="en-GB"/>
        </w:rPr>
        <w:t xml:space="preserve">. </w:t>
      </w:r>
      <w:r w:rsidRPr="00F90DBE">
        <w:rPr>
          <w:rFonts w:ascii="Times New Roman" w:hAnsi="Times New Roman" w:cs="Times New Roman"/>
          <w:lang w:val="en-GB"/>
        </w:rPr>
        <w:t xml:space="preserve">To sum up, an appeal in cases with the features described in this paper should be permitted if the Constitutional Court has already handled them and made a referring decision while a constitutional complaint can be lodged only if the </w:t>
      </w:r>
      <w:r w:rsidR="00CB2A41">
        <w:rPr>
          <w:rFonts w:ascii="Times New Roman" w:hAnsi="Times New Roman" w:cs="Times New Roman"/>
          <w:lang w:val="en-GB"/>
        </w:rPr>
        <w:t xml:space="preserve">application for </w:t>
      </w:r>
      <w:r w:rsidRPr="00F90DBE">
        <w:rPr>
          <w:rFonts w:ascii="Times New Roman" w:hAnsi="Times New Roman" w:cs="Times New Roman"/>
          <w:lang w:val="en-GB"/>
        </w:rPr>
        <w:t>appeal</w:t>
      </w:r>
      <w:r w:rsidR="00CB2A41">
        <w:rPr>
          <w:rFonts w:ascii="Times New Roman" w:hAnsi="Times New Roman" w:cs="Times New Roman"/>
          <w:lang w:val="en-GB"/>
        </w:rPr>
        <w:t xml:space="preserve"> permission</w:t>
      </w:r>
      <w:r w:rsidRPr="00F90DBE">
        <w:rPr>
          <w:rFonts w:ascii="Times New Roman" w:hAnsi="Times New Roman" w:cs="Times New Roman"/>
          <w:lang w:val="en-GB"/>
        </w:rPr>
        <w:t xml:space="preserve"> has already been decided upon</w:t>
      </w:r>
      <w:r w:rsidR="00140342" w:rsidRPr="00C961BD">
        <w:rPr>
          <w:rFonts w:ascii="Times New Roman" w:hAnsi="Times New Roman" w:cs="Times New Roman"/>
          <w:lang w:val="en-GB"/>
        </w:rPr>
        <w:t xml:space="preserve">. </w:t>
      </w:r>
      <w:r w:rsidR="001F51E3" w:rsidRPr="001F51E3">
        <w:rPr>
          <w:rFonts w:ascii="Times New Roman" w:hAnsi="Times New Roman" w:cs="Times New Roman"/>
          <w:lang w:val="en-GB"/>
        </w:rPr>
        <w:t xml:space="preserve">In real life, this circulus vitiosus can be tackled by instructing the parties to </w:t>
      </w:r>
      <w:proofErr w:type="gramStart"/>
      <w:r w:rsidR="001F51E3" w:rsidRPr="001F51E3">
        <w:rPr>
          <w:rFonts w:ascii="Times New Roman" w:hAnsi="Times New Roman" w:cs="Times New Roman"/>
          <w:lang w:val="en-GB"/>
        </w:rPr>
        <w:t>submit an application</w:t>
      </w:r>
      <w:proofErr w:type="gramEnd"/>
      <w:r w:rsidR="001F51E3" w:rsidRPr="001F51E3">
        <w:rPr>
          <w:rFonts w:ascii="Times New Roman" w:hAnsi="Times New Roman" w:cs="Times New Roman"/>
          <w:lang w:val="en-GB"/>
        </w:rPr>
        <w:t xml:space="preserve"> for appeal permission to the SCRC and lodge a constitutional complaint to the Constitutional Court</w:t>
      </w:r>
      <w:r w:rsidR="00140342" w:rsidRPr="00C961BD">
        <w:rPr>
          <w:rFonts w:ascii="Times New Roman" w:hAnsi="Times New Roman" w:cs="Times New Roman"/>
          <w:lang w:val="en-GB"/>
        </w:rPr>
        <w:t>.</w:t>
      </w:r>
      <w:r w:rsidR="007A4961" w:rsidRPr="00C961BD">
        <w:rPr>
          <w:rFonts w:ascii="Times New Roman" w:hAnsi="Times New Roman" w:cs="Times New Roman"/>
          <w:lang w:val="en-GB"/>
        </w:rPr>
        <w:t xml:space="preserve"> </w:t>
      </w:r>
      <w:r w:rsidR="001F51E3">
        <w:rPr>
          <w:rFonts w:ascii="Times New Roman" w:hAnsi="Times New Roman" w:cs="Times New Roman"/>
          <w:lang w:val="en-GB"/>
        </w:rPr>
        <w:t>I</w:t>
      </w:r>
      <w:r w:rsidR="001F51E3" w:rsidRPr="001F51E3">
        <w:rPr>
          <w:rFonts w:ascii="Times New Roman" w:hAnsi="Times New Roman" w:cs="Times New Roman"/>
          <w:lang w:val="en-GB"/>
        </w:rPr>
        <w:t xml:space="preserve">t is to be expected that the workload of the Constitutional Court will grow </w:t>
      </w:r>
      <w:r w:rsidR="001F51E3">
        <w:rPr>
          <w:rFonts w:ascii="Times New Roman" w:hAnsi="Times New Roman" w:cs="Times New Roman"/>
          <w:lang w:val="en-GB"/>
        </w:rPr>
        <w:t>as a result of a growing number of lodged constitutional complaints due to violation of ownership rights</w:t>
      </w:r>
      <w:r w:rsidR="00BC5644" w:rsidRPr="00C961BD">
        <w:rPr>
          <w:rFonts w:ascii="Times New Roman" w:hAnsi="Times New Roman" w:cs="Times New Roman"/>
          <w:lang w:val="en-GB"/>
        </w:rPr>
        <w:t>.</w:t>
      </w:r>
    </w:p>
    <w:p w14:paraId="4D82EA34" w14:textId="060E0497" w:rsidR="00140342" w:rsidRPr="00C961BD" w:rsidRDefault="001F51E3" w:rsidP="006978A4">
      <w:pPr>
        <w:spacing w:after="0" w:line="360" w:lineRule="auto"/>
        <w:jc w:val="both"/>
        <w:rPr>
          <w:rFonts w:ascii="Times New Roman" w:hAnsi="Times New Roman" w:cs="Times New Roman"/>
          <w:lang w:val="en-GB"/>
        </w:rPr>
      </w:pPr>
      <w:r w:rsidRPr="001F51E3">
        <w:rPr>
          <w:rFonts w:ascii="Times New Roman" w:hAnsi="Times New Roman" w:cs="Times New Roman"/>
          <w:lang w:val="en-GB"/>
        </w:rPr>
        <w:t>What also has to be highlighted is that the chances of using the instrument of second appeal can be soon diminished due to the intention of the SCRC to focus on its case-law, which may be regarded as restriction of the right to a fair trial, guaranteed by Article 6 paragraph of the E</w:t>
      </w:r>
      <w:r>
        <w:rPr>
          <w:rFonts w:ascii="Times New Roman" w:hAnsi="Times New Roman" w:cs="Times New Roman"/>
          <w:lang w:val="en-GB"/>
        </w:rPr>
        <w:t>CHR</w:t>
      </w:r>
      <w:r w:rsidR="00BC5644" w:rsidRPr="00C961BD">
        <w:rPr>
          <w:rFonts w:ascii="Times New Roman" w:hAnsi="Times New Roman" w:cs="Times New Roman"/>
          <w:lang w:val="en-GB"/>
        </w:rPr>
        <w:t xml:space="preserve">.  </w:t>
      </w:r>
      <w:r>
        <w:rPr>
          <w:rFonts w:ascii="Times New Roman" w:hAnsi="Times New Roman" w:cs="Times New Roman"/>
          <w:lang w:val="en-GB"/>
        </w:rPr>
        <w:t>To conclude with</w:t>
      </w:r>
      <w:r w:rsidRPr="001F51E3">
        <w:rPr>
          <w:rFonts w:ascii="Times New Roman" w:hAnsi="Times New Roman" w:cs="Times New Roman"/>
          <w:lang w:val="en-GB"/>
        </w:rPr>
        <w:t>, the future will show whether the 2022 amendments to the CPA will accomplish the set gaols and simplify the appeal procedure or the number of constitutional complaints and applications submitted before the European Court of Human Rights will continue to rise</w:t>
      </w:r>
      <w:r w:rsidR="00140342" w:rsidRPr="00C961BD">
        <w:rPr>
          <w:rFonts w:ascii="Times New Roman" w:hAnsi="Times New Roman" w:cs="Times New Roman"/>
          <w:lang w:val="en-GB"/>
        </w:rPr>
        <w:t>.</w:t>
      </w:r>
    </w:p>
    <w:p w14:paraId="21A4B2B2" w14:textId="77777777" w:rsidR="006508DB" w:rsidRPr="00C961BD" w:rsidRDefault="006508DB" w:rsidP="00140342">
      <w:pPr>
        <w:pStyle w:val="ListParagraph"/>
        <w:spacing w:after="0" w:line="360" w:lineRule="auto"/>
        <w:jc w:val="both"/>
        <w:rPr>
          <w:rFonts w:ascii="Times New Roman" w:hAnsi="Times New Roman" w:cs="Times New Roman"/>
          <w:lang w:val="en-GB"/>
        </w:rPr>
      </w:pPr>
    </w:p>
    <w:p w14:paraId="554F5F09" w14:textId="6B7A65EC" w:rsidR="00513200" w:rsidRPr="00C961BD" w:rsidRDefault="00513200" w:rsidP="00A43A41">
      <w:pPr>
        <w:rPr>
          <w:rFonts w:ascii="Times New Roman" w:hAnsi="Times New Roman" w:cs="Times New Roman"/>
          <w:lang w:val="en-GB"/>
        </w:rPr>
      </w:pPr>
    </w:p>
    <w:p w14:paraId="51A50977" w14:textId="54095763" w:rsidR="000D4DA8" w:rsidRPr="00C961BD" w:rsidRDefault="000D4DA8" w:rsidP="00A43A41">
      <w:pPr>
        <w:rPr>
          <w:rFonts w:ascii="Times New Roman" w:hAnsi="Times New Roman" w:cs="Times New Roman"/>
          <w:lang w:val="en-GB"/>
        </w:rPr>
      </w:pPr>
    </w:p>
    <w:p w14:paraId="056A64A8" w14:textId="123B93FB" w:rsidR="000D4DA8" w:rsidRPr="00C961BD" w:rsidRDefault="000D4DA8" w:rsidP="00A43A41">
      <w:pPr>
        <w:rPr>
          <w:rFonts w:ascii="Times New Roman" w:hAnsi="Times New Roman" w:cs="Times New Roman"/>
          <w:lang w:val="en-GB"/>
        </w:rPr>
      </w:pPr>
    </w:p>
    <w:p w14:paraId="12A8BDE2" w14:textId="07051DF6" w:rsidR="002C00B3" w:rsidRPr="00C961BD" w:rsidRDefault="002C00B3" w:rsidP="00A43A41">
      <w:pPr>
        <w:rPr>
          <w:rFonts w:ascii="Times New Roman" w:hAnsi="Times New Roman" w:cs="Times New Roman"/>
          <w:lang w:val="en-GB"/>
        </w:rPr>
      </w:pPr>
    </w:p>
    <w:p w14:paraId="6A5B18F1" w14:textId="3EB25F19" w:rsidR="00DC3BCB" w:rsidRPr="00C961BD" w:rsidRDefault="00DC3BCB" w:rsidP="00A43A41">
      <w:pPr>
        <w:rPr>
          <w:rFonts w:ascii="Times New Roman" w:hAnsi="Times New Roman" w:cs="Times New Roman"/>
          <w:lang w:val="en-GB"/>
        </w:rPr>
      </w:pPr>
    </w:p>
    <w:p w14:paraId="5BF70C7C" w14:textId="4D29B871" w:rsidR="00DC3BCB" w:rsidRPr="00C961BD" w:rsidRDefault="00DC3BCB" w:rsidP="00A43A41">
      <w:pPr>
        <w:rPr>
          <w:rFonts w:ascii="Times New Roman" w:hAnsi="Times New Roman" w:cs="Times New Roman"/>
          <w:lang w:val="en-GB"/>
        </w:rPr>
      </w:pPr>
    </w:p>
    <w:p w14:paraId="54959281" w14:textId="2971614E" w:rsidR="00DC3BCB" w:rsidRPr="00C961BD" w:rsidRDefault="00DC3BCB" w:rsidP="00A43A41">
      <w:pPr>
        <w:rPr>
          <w:rFonts w:ascii="Times New Roman" w:hAnsi="Times New Roman" w:cs="Times New Roman"/>
          <w:lang w:val="en-GB"/>
        </w:rPr>
      </w:pPr>
    </w:p>
    <w:p w14:paraId="7DAEAFF2" w14:textId="34362069" w:rsidR="00DC3BCB" w:rsidRPr="00C961BD" w:rsidRDefault="00DC3BCB" w:rsidP="00A43A41">
      <w:pPr>
        <w:rPr>
          <w:rFonts w:ascii="Times New Roman" w:hAnsi="Times New Roman" w:cs="Times New Roman"/>
          <w:lang w:val="en-GB"/>
        </w:rPr>
      </w:pPr>
    </w:p>
    <w:p w14:paraId="1B862F8B" w14:textId="432E856C" w:rsidR="00DC3BCB" w:rsidRPr="00C961BD" w:rsidRDefault="00DC3BCB" w:rsidP="00A43A41">
      <w:pPr>
        <w:rPr>
          <w:rFonts w:ascii="Times New Roman" w:hAnsi="Times New Roman" w:cs="Times New Roman"/>
          <w:lang w:val="en-GB"/>
        </w:rPr>
      </w:pPr>
    </w:p>
    <w:p w14:paraId="6AC16071" w14:textId="2C115C3C" w:rsidR="00DC3BCB" w:rsidRPr="00C961BD" w:rsidRDefault="00DC3BCB" w:rsidP="00A43A41">
      <w:pPr>
        <w:rPr>
          <w:rFonts w:ascii="Times New Roman" w:hAnsi="Times New Roman" w:cs="Times New Roman"/>
          <w:lang w:val="en-GB"/>
        </w:rPr>
      </w:pPr>
    </w:p>
    <w:p w14:paraId="310C3D0B" w14:textId="40054724" w:rsidR="00DC3BCB" w:rsidRPr="00C961BD" w:rsidRDefault="00DC3BCB" w:rsidP="00A43A41">
      <w:pPr>
        <w:rPr>
          <w:rFonts w:ascii="Times New Roman" w:hAnsi="Times New Roman" w:cs="Times New Roman"/>
          <w:lang w:val="en-GB"/>
        </w:rPr>
      </w:pPr>
    </w:p>
    <w:p w14:paraId="25870593" w14:textId="1C024A7F" w:rsidR="00DC3BCB" w:rsidRPr="00C961BD" w:rsidRDefault="00DC3BCB" w:rsidP="00A43A41">
      <w:pPr>
        <w:rPr>
          <w:rFonts w:ascii="Times New Roman" w:hAnsi="Times New Roman" w:cs="Times New Roman"/>
          <w:lang w:val="en-GB"/>
        </w:rPr>
      </w:pPr>
    </w:p>
    <w:p w14:paraId="5C5BF0B4" w14:textId="77777777" w:rsidR="00AB3EF6" w:rsidRPr="00C961BD" w:rsidRDefault="00AB3EF6" w:rsidP="00A43A41">
      <w:pPr>
        <w:rPr>
          <w:rFonts w:ascii="Times New Roman" w:hAnsi="Times New Roman" w:cs="Times New Roman"/>
          <w:lang w:val="en-GB"/>
        </w:rPr>
      </w:pPr>
    </w:p>
    <w:p w14:paraId="5752B3B0" w14:textId="77777777" w:rsidR="00AB3EF6" w:rsidRPr="00C961BD" w:rsidRDefault="00AB3EF6" w:rsidP="00A43A41">
      <w:pPr>
        <w:rPr>
          <w:rFonts w:ascii="Times New Roman" w:hAnsi="Times New Roman" w:cs="Times New Roman"/>
          <w:lang w:val="en-GB"/>
        </w:rPr>
      </w:pPr>
    </w:p>
    <w:p w14:paraId="79D87737" w14:textId="77777777" w:rsidR="00AB3EF6" w:rsidRPr="00C961BD" w:rsidRDefault="00AB3EF6" w:rsidP="00A43A41">
      <w:pPr>
        <w:rPr>
          <w:rFonts w:ascii="Times New Roman" w:hAnsi="Times New Roman" w:cs="Times New Roman"/>
          <w:lang w:val="en-GB"/>
        </w:rPr>
      </w:pPr>
    </w:p>
    <w:p w14:paraId="5BC75DB8" w14:textId="77777777" w:rsidR="00AB3EF6" w:rsidRPr="00C961BD" w:rsidRDefault="00AB3EF6" w:rsidP="00A43A41">
      <w:pPr>
        <w:rPr>
          <w:rFonts w:ascii="Times New Roman" w:hAnsi="Times New Roman" w:cs="Times New Roman"/>
          <w:lang w:val="en-GB"/>
        </w:rPr>
      </w:pPr>
    </w:p>
    <w:p w14:paraId="1B5CF725" w14:textId="77777777" w:rsidR="00AB3EF6" w:rsidRPr="00C961BD" w:rsidRDefault="00AB3EF6" w:rsidP="00A43A41">
      <w:pPr>
        <w:rPr>
          <w:rFonts w:ascii="Times New Roman" w:hAnsi="Times New Roman" w:cs="Times New Roman"/>
          <w:lang w:val="en-GB"/>
        </w:rPr>
      </w:pPr>
    </w:p>
    <w:p w14:paraId="61124C48" w14:textId="77777777" w:rsidR="00DC3BCB" w:rsidRPr="00C961BD" w:rsidRDefault="00DC3BCB" w:rsidP="00A43A41">
      <w:pPr>
        <w:rPr>
          <w:rFonts w:ascii="Times New Roman" w:hAnsi="Times New Roman" w:cs="Times New Roman"/>
          <w:lang w:val="en-GB"/>
        </w:rPr>
      </w:pPr>
    </w:p>
    <w:p w14:paraId="3B76573E" w14:textId="326012A4" w:rsidR="008B5732" w:rsidRPr="00C961BD" w:rsidRDefault="00F811D6" w:rsidP="00C93B92">
      <w:pPr>
        <w:spacing w:after="0" w:line="360" w:lineRule="auto"/>
        <w:rPr>
          <w:rFonts w:ascii="Times New Roman" w:hAnsi="Times New Roman" w:cs="Times New Roman"/>
          <w:b/>
          <w:lang w:val="en-GB"/>
        </w:rPr>
      </w:pPr>
      <w:r>
        <w:rPr>
          <w:rFonts w:ascii="Times New Roman" w:hAnsi="Times New Roman" w:cs="Times New Roman"/>
          <w:b/>
          <w:lang w:val="en-GB"/>
        </w:rPr>
        <w:t>REFERENCES</w:t>
      </w:r>
    </w:p>
    <w:p w14:paraId="5B13D852" w14:textId="2FDF118F" w:rsidR="00D93B54" w:rsidRPr="00C961BD" w:rsidRDefault="00F811D6" w:rsidP="00C93B92">
      <w:pPr>
        <w:spacing w:after="120" w:line="360" w:lineRule="auto"/>
        <w:jc w:val="both"/>
        <w:rPr>
          <w:rFonts w:ascii="Times New Roman" w:hAnsi="Times New Roman" w:cs="Times New Roman"/>
          <w:b/>
          <w:lang w:val="en-GB"/>
        </w:rPr>
      </w:pPr>
      <w:r>
        <w:rPr>
          <w:rFonts w:ascii="Times New Roman" w:hAnsi="Times New Roman" w:cs="Times New Roman"/>
          <w:b/>
          <w:lang w:val="en-GB"/>
        </w:rPr>
        <w:t>Books and articles</w:t>
      </w:r>
    </w:p>
    <w:p w14:paraId="62896DDD" w14:textId="77777777" w:rsidR="00DF531C" w:rsidRPr="00C961BD" w:rsidRDefault="00DF531C" w:rsidP="00164E9F">
      <w:pPr>
        <w:spacing w:after="0" w:line="360" w:lineRule="auto"/>
        <w:jc w:val="both"/>
        <w:rPr>
          <w:rFonts w:ascii="Times New Roman" w:hAnsi="Times New Roman" w:cs="Times New Roman"/>
          <w:iCs/>
          <w:lang w:val="en-GB"/>
        </w:rPr>
      </w:pPr>
      <w:r w:rsidRPr="00C961BD">
        <w:rPr>
          <w:rFonts w:ascii="Times New Roman" w:hAnsi="Times New Roman" w:cs="Times New Roman"/>
          <w:lang w:val="en-GB"/>
        </w:rPr>
        <w:t xml:space="preserve">Bratković, M. (2018). Što je važno pravno pitanje u reviziji. </w:t>
      </w:r>
      <w:r w:rsidRPr="00C961BD">
        <w:rPr>
          <w:rFonts w:ascii="Times New Roman" w:hAnsi="Times New Roman" w:cs="Times New Roman"/>
          <w:iCs/>
          <w:lang w:val="en-GB"/>
        </w:rPr>
        <w:t>Zbornik radova Pravnog fakulteta u Zagrebu,</w:t>
      </w:r>
    </w:p>
    <w:p w14:paraId="1D80B871" w14:textId="3BD3CF2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iCs/>
          <w:lang w:val="en-GB"/>
        </w:rPr>
        <w:t xml:space="preserve">                  </w:t>
      </w:r>
      <w:r w:rsidRPr="00C961BD">
        <w:rPr>
          <w:rFonts w:ascii="Times New Roman" w:hAnsi="Times New Roman" w:cs="Times New Roman"/>
          <w:lang w:val="en-GB"/>
        </w:rPr>
        <w:t>Vol. 68 No. 5-6: 853-880.</w:t>
      </w:r>
    </w:p>
    <w:p w14:paraId="6E30993F"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Bratković, M., Katić, D. (2019). </w:t>
      </w:r>
      <w:r w:rsidRPr="00C961BD">
        <w:rPr>
          <w:rFonts w:ascii="Times New Roman" w:hAnsi="Times New Roman" w:cs="Times New Roman"/>
          <w:iCs/>
          <w:lang w:val="en-GB"/>
        </w:rPr>
        <w:t>Novo uređenje revizije.</w:t>
      </w:r>
      <w:r w:rsidRPr="00C961BD">
        <w:rPr>
          <w:rFonts w:ascii="Times New Roman" w:hAnsi="Times New Roman" w:cs="Times New Roman"/>
          <w:lang w:val="en-GB"/>
        </w:rPr>
        <w:t xml:space="preserve"> Zagreb: Pravosudna akademija.</w:t>
      </w:r>
    </w:p>
    <w:p w14:paraId="5973E9B1"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Gavella, N., Josipović, T., Gliha, I., Belaj, V., Stipković, Z. (2007). </w:t>
      </w:r>
      <w:r w:rsidRPr="00C961BD">
        <w:rPr>
          <w:rFonts w:ascii="Times New Roman" w:hAnsi="Times New Roman" w:cs="Times New Roman"/>
          <w:iCs/>
          <w:lang w:val="en-GB"/>
        </w:rPr>
        <w:t>Stvarno pravo.</w:t>
      </w:r>
      <w:r w:rsidRPr="00C961BD">
        <w:rPr>
          <w:rFonts w:ascii="Times New Roman" w:hAnsi="Times New Roman" w:cs="Times New Roman"/>
          <w:lang w:val="en-GB"/>
        </w:rPr>
        <w:t xml:space="preserve"> Zagreb: Narodne novine.</w:t>
      </w:r>
    </w:p>
    <w:p w14:paraId="034A198C"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Gović Penić, I. (2022). Izabrana praksa Europskog suda za ljudska prava i građanski postupci pred</w:t>
      </w:r>
    </w:p>
    <w:p w14:paraId="4ED9030B" w14:textId="507F12AC"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                      hrvatskim sudovima. Zagreb: Organizator.  </w:t>
      </w:r>
    </w:p>
    <w:p w14:paraId="76568B5E"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Jug, J., Pajalić, Ž. (2022). Novela Zakona o parničnom postupku iz 2022. godine. </w:t>
      </w:r>
      <w:r w:rsidRPr="00C961BD">
        <w:rPr>
          <w:rFonts w:ascii="Times New Roman" w:hAnsi="Times New Roman" w:cs="Times New Roman"/>
          <w:iCs/>
          <w:lang w:val="en-GB"/>
        </w:rPr>
        <w:t>Odvjetnik,</w:t>
      </w:r>
      <w:r w:rsidRPr="00C961BD">
        <w:rPr>
          <w:rFonts w:ascii="Times New Roman" w:hAnsi="Times New Roman" w:cs="Times New Roman"/>
          <w:lang w:val="en-GB"/>
        </w:rPr>
        <w:t xml:space="preserve"> 4: 21-46.</w:t>
      </w:r>
    </w:p>
    <w:p w14:paraId="712D9533"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Klarić, P., Vedriš, M. (2006). </w:t>
      </w:r>
      <w:proofErr w:type="gramStart"/>
      <w:r w:rsidRPr="00C961BD">
        <w:rPr>
          <w:rFonts w:ascii="Times New Roman" w:hAnsi="Times New Roman" w:cs="Times New Roman"/>
          <w:iCs/>
          <w:lang w:val="en-GB"/>
        </w:rPr>
        <w:t>Građansko  pravo</w:t>
      </w:r>
      <w:proofErr w:type="gramEnd"/>
      <w:r w:rsidRPr="00C961BD">
        <w:rPr>
          <w:rFonts w:ascii="Times New Roman" w:hAnsi="Times New Roman" w:cs="Times New Roman"/>
          <w:iCs/>
          <w:lang w:val="en-GB"/>
        </w:rPr>
        <w:t>. Zagreb: Narodne novine.</w:t>
      </w:r>
      <w:r w:rsidRPr="00C961BD">
        <w:rPr>
          <w:rFonts w:ascii="Times New Roman" w:hAnsi="Times New Roman" w:cs="Times New Roman"/>
          <w:lang w:val="en-GB"/>
        </w:rPr>
        <w:t xml:space="preserve"> </w:t>
      </w:r>
    </w:p>
    <w:p w14:paraId="28D90255"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Ljubenko, M., Nagy, T. (2022). Izmjene i dopune ZPP-a i prijedlozi Hrvatske odvjetničke komore.</w:t>
      </w:r>
    </w:p>
    <w:p w14:paraId="7CC1AFB3" w14:textId="4725BCC9"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                 Odvjetnik, 4: 47- 54. </w:t>
      </w:r>
    </w:p>
    <w:p w14:paraId="54DBB68D" w14:textId="77777777" w:rsidR="00DF531C" w:rsidRPr="00C961BD" w:rsidRDefault="00DF531C" w:rsidP="00164E9F">
      <w:pPr>
        <w:spacing w:after="0" w:line="360" w:lineRule="auto"/>
        <w:jc w:val="both"/>
        <w:rPr>
          <w:rFonts w:ascii="Times New Roman" w:hAnsi="Times New Roman" w:cs="Times New Roman"/>
          <w:iCs/>
          <w:lang w:val="en-GB"/>
        </w:rPr>
      </w:pPr>
      <w:r w:rsidRPr="00C961BD">
        <w:rPr>
          <w:rFonts w:ascii="Times New Roman" w:hAnsi="Times New Roman" w:cs="Times New Roman"/>
          <w:lang w:val="en-GB"/>
        </w:rPr>
        <w:t xml:space="preserve">Maganić, A. (2008). Razvrgnuće suvlasničke zajednice. </w:t>
      </w:r>
      <w:r w:rsidRPr="00C961BD">
        <w:rPr>
          <w:rFonts w:ascii="Times New Roman" w:hAnsi="Times New Roman" w:cs="Times New Roman"/>
          <w:iCs/>
          <w:lang w:val="en-GB"/>
        </w:rPr>
        <w:t>Zbornik radova Pravnog fakulteta Sveučilišta u</w:t>
      </w:r>
    </w:p>
    <w:p w14:paraId="2D7E4EB4" w14:textId="0451C371"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iCs/>
          <w:lang w:val="en-GB"/>
        </w:rPr>
        <w:t xml:space="preserve">                Rijeci, Vol. 29 No. </w:t>
      </w:r>
      <w:r w:rsidRPr="00C961BD">
        <w:rPr>
          <w:rFonts w:ascii="Times New Roman" w:hAnsi="Times New Roman" w:cs="Times New Roman"/>
          <w:lang w:val="en-GB"/>
        </w:rPr>
        <w:t>1: 413-454.</w:t>
      </w:r>
    </w:p>
    <w:p w14:paraId="17BB517F" w14:textId="77777777" w:rsidR="00DF531C" w:rsidRPr="00C961BD" w:rsidRDefault="00DF531C" w:rsidP="00164E9F">
      <w:pPr>
        <w:spacing w:after="0" w:line="360" w:lineRule="auto"/>
        <w:jc w:val="both"/>
        <w:rPr>
          <w:rFonts w:ascii="Times New Roman" w:hAnsi="Times New Roman" w:cs="Times New Roman"/>
          <w:iCs/>
          <w:lang w:val="en-GB"/>
        </w:rPr>
      </w:pPr>
      <w:r w:rsidRPr="00C961BD">
        <w:rPr>
          <w:rFonts w:ascii="Times New Roman" w:hAnsi="Times New Roman" w:cs="Times New Roman"/>
          <w:lang w:val="en-GB"/>
        </w:rPr>
        <w:t xml:space="preserve">Poretti, P., Mišković, M. (2019). Novine u revizijskom postupku. </w:t>
      </w:r>
      <w:r w:rsidRPr="00C961BD">
        <w:rPr>
          <w:rFonts w:ascii="Times New Roman" w:hAnsi="Times New Roman" w:cs="Times New Roman"/>
          <w:iCs/>
          <w:lang w:val="en-GB"/>
        </w:rPr>
        <w:t>Zbornik radova Pravnog fakulteta</w:t>
      </w:r>
    </w:p>
    <w:p w14:paraId="619E1FC9" w14:textId="08A95FFA"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iCs/>
          <w:lang w:val="en-GB"/>
        </w:rPr>
        <w:t xml:space="preserve">             Sveučilišta u Rijeci,</w:t>
      </w:r>
      <w:r w:rsidRPr="00C961BD">
        <w:rPr>
          <w:rFonts w:ascii="Times New Roman" w:hAnsi="Times New Roman" w:cs="Times New Roman"/>
          <w:lang w:val="en-GB"/>
        </w:rPr>
        <w:t xml:space="preserve"> Vol. 40 No. 1: 510 - 531.</w:t>
      </w:r>
    </w:p>
    <w:p w14:paraId="0A365E67" w14:textId="77777777" w:rsidR="00DF531C" w:rsidRPr="00C961BD" w:rsidRDefault="00DF531C"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Triva, S. (1978). </w:t>
      </w:r>
      <w:r w:rsidRPr="00C961BD">
        <w:rPr>
          <w:rFonts w:ascii="Times New Roman" w:hAnsi="Times New Roman" w:cs="Times New Roman"/>
          <w:iCs/>
          <w:lang w:val="en-GB"/>
        </w:rPr>
        <w:t>Građansko parnično procesno pravo.</w:t>
      </w:r>
      <w:r w:rsidRPr="00C961BD">
        <w:rPr>
          <w:rFonts w:ascii="Times New Roman" w:hAnsi="Times New Roman" w:cs="Times New Roman"/>
          <w:lang w:val="en-GB"/>
        </w:rPr>
        <w:t xml:space="preserve"> Zagreb: Narodne novine.</w:t>
      </w:r>
    </w:p>
    <w:p w14:paraId="62D05CF9" w14:textId="77777777" w:rsidR="00DF531C" w:rsidRPr="00C961BD" w:rsidRDefault="00DF531C" w:rsidP="00DF531C">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Triva, S., Dika, M. (2004). </w:t>
      </w:r>
      <w:proofErr w:type="gramStart"/>
      <w:r w:rsidRPr="00C961BD">
        <w:rPr>
          <w:rFonts w:ascii="Times New Roman" w:hAnsi="Times New Roman" w:cs="Times New Roman"/>
          <w:iCs/>
          <w:lang w:val="en-GB"/>
        </w:rPr>
        <w:t>Građansko  parnično</w:t>
      </w:r>
      <w:proofErr w:type="gramEnd"/>
      <w:r w:rsidRPr="00C961BD">
        <w:rPr>
          <w:rFonts w:ascii="Times New Roman" w:hAnsi="Times New Roman" w:cs="Times New Roman"/>
          <w:iCs/>
          <w:lang w:val="en-GB"/>
        </w:rPr>
        <w:t xml:space="preserve"> procesno pravo.</w:t>
      </w:r>
      <w:r w:rsidRPr="00C961BD">
        <w:rPr>
          <w:rFonts w:ascii="Times New Roman" w:hAnsi="Times New Roman" w:cs="Times New Roman"/>
          <w:lang w:val="en-GB"/>
        </w:rPr>
        <w:t xml:space="preserve"> Zagreb: Narodne novine.</w:t>
      </w:r>
    </w:p>
    <w:p w14:paraId="6E8BA834" w14:textId="77777777" w:rsidR="00DF531C" w:rsidRPr="00C961BD" w:rsidRDefault="00DF531C" w:rsidP="00DF531C">
      <w:pPr>
        <w:spacing w:after="120" w:line="360" w:lineRule="auto"/>
        <w:jc w:val="both"/>
        <w:rPr>
          <w:rFonts w:ascii="Times New Roman" w:hAnsi="Times New Roman" w:cs="Times New Roman"/>
          <w:lang w:val="en-GB"/>
        </w:rPr>
      </w:pPr>
      <w:r w:rsidRPr="00C961BD">
        <w:rPr>
          <w:rFonts w:ascii="Times New Roman" w:hAnsi="Times New Roman" w:cs="Times New Roman"/>
          <w:lang w:val="en-GB"/>
        </w:rPr>
        <w:t xml:space="preserve">Vidaković Mukić, M. (2006). </w:t>
      </w:r>
      <w:r w:rsidRPr="00C961BD">
        <w:rPr>
          <w:rFonts w:ascii="Times New Roman" w:hAnsi="Times New Roman" w:cs="Times New Roman"/>
          <w:iCs/>
          <w:lang w:val="en-GB"/>
        </w:rPr>
        <w:t xml:space="preserve">Opći pravni rječnik. Zagreb: </w:t>
      </w:r>
      <w:r w:rsidRPr="00C961BD">
        <w:rPr>
          <w:rFonts w:ascii="Times New Roman" w:hAnsi="Times New Roman" w:cs="Times New Roman"/>
          <w:lang w:val="en-GB"/>
        </w:rPr>
        <w:t>Narode novine.</w:t>
      </w:r>
    </w:p>
    <w:p w14:paraId="2EAE02BB" w14:textId="1BC74935" w:rsidR="00316916" w:rsidRPr="00C961BD" w:rsidRDefault="00F811D6" w:rsidP="00C93B92">
      <w:pPr>
        <w:spacing w:after="120" w:line="360" w:lineRule="auto"/>
        <w:jc w:val="both"/>
        <w:rPr>
          <w:rFonts w:ascii="Times New Roman" w:hAnsi="Times New Roman" w:cs="Times New Roman"/>
          <w:lang w:val="en-GB"/>
        </w:rPr>
      </w:pPr>
      <w:r>
        <w:rPr>
          <w:rFonts w:ascii="Times New Roman" w:hAnsi="Times New Roman" w:cs="Times New Roman"/>
          <w:b/>
          <w:lang w:val="en-GB"/>
        </w:rPr>
        <w:t>Legal sources</w:t>
      </w:r>
    </w:p>
    <w:p w14:paraId="47BD3693" w14:textId="31200244"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t>Europe Convention on Human Rights (former European Convention for the Protection of Human Rights and Fundamental Freedoms</w:t>
      </w:r>
      <w:r w:rsidR="000D4DA8" w:rsidRPr="00C961BD">
        <w:rPr>
          <w:rFonts w:ascii="Times New Roman" w:hAnsi="Times New Roman" w:cs="Times New Roman"/>
          <w:lang w:val="en-GB"/>
        </w:rPr>
        <w:t xml:space="preserve">, </w:t>
      </w:r>
      <w:r>
        <w:rPr>
          <w:rFonts w:ascii="Times New Roman" w:hAnsi="Times New Roman" w:cs="Times New Roman"/>
          <w:lang w:val="en-GB"/>
        </w:rPr>
        <w:t>Official Gazette</w:t>
      </w:r>
      <w:r w:rsidR="000D4DA8" w:rsidRPr="00C961BD">
        <w:rPr>
          <w:rFonts w:ascii="Times New Roman" w:hAnsi="Times New Roman" w:cs="Times New Roman"/>
          <w:lang w:val="en-GB"/>
        </w:rPr>
        <w:t xml:space="preserve">, </w:t>
      </w:r>
      <w:r>
        <w:rPr>
          <w:rFonts w:ascii="Times New Roman" w:hAnsi="Times New Roman" w:cs="Times New Roman"/>
          <w:lang w:val="en-GB"/>
        </w:rPr>
        <w:t>International Treaties no</w:t>
      </w:r>
      <w:r w:rsidR="000D4DA8" w:rsidRPr="00C961BD">
        <w:rPr>
          <w:rFonts w:ascii="Times New Roman" w:hAnsi="Times New Roman" w:cs="Times New Roman"/>
          <w:lang w:val="en-GB"/>
        </w:rPr>
        <w:t>. 8/97, 6/99, 14/02, 13/03, 9/05, 1/06, 2/10, 13/17.</w:t>
      </w:r>
    </w:p>
    <w:p w14:paraId="40E38623" w14:textId="0AD462D1" w:rsidR="000D4DA8" w:rsidRPr="00C961BD" w:rsidRDefault="00F811D6" w:rsidP="00164E9F">
      <w:pPr>
        <w:spacing w:after="0" w:line="360" w:lineRule="auto"/>
        <w:jc w:val="both"/>
        <w:rPr>
          <w:rFonts w:ascii="Times New Roman" w:hAnsi="Times New Roman" w:cs="Times New Roman"/>
          <w:lang w:val="en-GB"/>
        </w:rPr>
      </w:pPr>
      <w:r>
        <w:rPr>
          <w:rFonts w:ascii="Times New Roman" w:hAnsi="Times New Roman" w:cs="Times New Roman"/>
          <w:lang w:val="en-GB"/>
        </w:rPr>
        <w:t>Constitution of the Republic of Croatia</w:t>
      </w:r>
      <w:r w:rsidR="000D4DA8" w:rsidRPr="00C961BD">
        <w:rPr>
          <w:rFonts w:ascii="Times New Roman" w:hAnsi="Times New Roman" w:cs="Times New Roman"/>
          <w:lang w:val="en-GB"/>
        </w:rPr>
        <w:t xml:space="preserve">, </w:t>
      </w:r>
      <w:r>
        <w:rPr>
          <w:rFonts w:ascii="Times New Roman" w:hAnsi="Times New Roman" w:cs="Times New Roman"/>
          <w:lang w:val="en-GB"/>
        </w:rPr>
        <w:t>Official Gazette no</w:t>
      </w:r>
      <w:r w:rsidR="000D4DA8" w:rsidRPr="00C961BD">
        <w:rPr>
          <w:rFonts w:ascii="Times New Roman" w:hAnsi="Times New Roman" w:cs="Times New Roman"/>
          <w:lang w:val="en-GB"/>
        </w:rPr>
        <w:t>. 56/90, 135/97, 08/98, 113/00, 124/00, 28/01, 41/01, 55/01,</w:t>
      </w:r>
      <w:r>
        <w:rPr>
          <w:rFonts w:ascii="Times New Roman" w:hAnsi="Times New Roman" w:cs="Times New Roman"/>
          <w:lang w:val="en-GB"/>
        </w:rPr>
        <w:t xml:space="preserve"> </w:t>
      </w:r>
      <w:r w:rsidR="000D4DA8" w:rsidRPr="00C961BD">
        <w:rPr>
          <w:rFonts w:ascii="Times New Roman" w:hAnsi="Times New Roman" w:cs="Times New Roman"/>
          <w:lang w:val="en-GB"/>
        </w:rPr>
        <w:t>76/10, 85/10, 05/14.</w:t>
      </w:r>
    </w:p>
    <w:p w14:paraId="03F44880" w14:textId="4AFC3023"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lastRenderedPageBreak/>
        <w:t>Constitutional Act on the Constitutional Court of the Republic of Croatia, Official Gazette no</w:t>
      </w:r>
      <w:r w:rsidR="000D4DA8" w:rsidRPr="00C961BD">
        <w:rPr>
          <w:rFonts w:ascii="Times New Roman" w:hAnsi="Times New Roman" w:cs="Times New Roman"/>
          <w:lang w:val="en-GB"/>
        </w:rPr>
        <w:t>. 99/99, 29/02, 49/02.</w:t>
      </w:r>
    </w:p>
    <w:p w14:paraId="4D8DFA8A" w14:textId="6E56FB19"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t>Act on Amendments to the Civil Procedure Act, Official Gazette no</w:t>
      </w:r>
      <w:r w:rsidR="000D4DA8" w:rsidRPr="00C961BD">
        <w:rPr>
          <w:rFonts w:ascii="Times New Roman" w:hAnsi="Times New Roman" w:cs="Times New Roman"/>
          <w:lang w:val="en-GB"/>
        </w:rPr>
        <w:t>. 70/19.</w:t>
      </w:r>
    </w:p>
    <w:p w14:paraId="5AD16822" w14:textId="3EF468F6"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t>Act on Amendments to the Civil Procedure Act, Official Gazette no</w:t>
      </w:r>
      <w:r w:rsidR="000D4DA8" w:rsidRPr="00C961BD">
        <w:rPr>
          <w:rFonts w:ascii="Times New Roman" w:hAnsi="Times New Roman" w:cs="Times New Roman"/>
          <w:lang w:val="en-GB"/>
        </w:rPr>
        <w:t>. 80/22.</w:t>
      </w:r>
    </w:p>
    <w:p w14:paraId="2E94BEB0" w14:textId="5C2FA262" w:rsidR="000D4DA8" w:rsidRPr="00C961BD" w:rsidRDefault="00F811D6" w:rsidP="00164E9F">
      <w:pPr>
        <w:spacing w:after="0" w:line="360" w:lineRule="auto"/>
        <w:jc w:val="both"/>
        <w:rPr>
          <w:rFonts w:ascii="Times New Roman" w:hAnsi="Times New Roman" w:cs="Times New Roman"/>
          <w:lang w:val="en-GB"/>
        </w:rPr>
      </w:pPr>
      <w:r>
        <w:rPr>
          <w:rFonts w:ascii="Times New Roman" w:hAnsi="Times New Roman" w:cs="Times New Roman"/>
          <w:lang w:val="en-GB"/>
        </w:rPr>
        <w:t>Civil Obligations Act</w:t>
      </w:r>
      <w:r w:rsidR="000D4DA8" w:rsidRPr="00C961BD">
        <w:rPr>
          <w:rFonts w:ascii="Times New Roman" w:hAnsi="Times New Roman" w:cs="Times New Roman"/>
          <w:lang w:val="en-GB"/>
        </w:rPr>
        <w:t xml:space="preserve">, </w:t>
      </w:r>
      <w:r>
        <w:rPr>
          <w:rFonts w:ascii="Times New Roman" w:hAnsi="Times New Roman" w:cs="Times New Roman"/>
          <w:lang w:val="en-GB"/>
        </w:rPr>
        <w:t>Official Gazette</w:t>
      </w:r>
      <w:r w:rsidR="000D4DA8" w:rsidRPr="00C961BD">
        <w:rPr>
          <w:rFonts w:ascii="Times New Roman" w:hAnsi="Times New Roman" w:cs="Times New Roman"/>
          <w:lang w:val="en-GB"/>
        </w:rPr>
        <w:t xml:space="preserve"> </w:t>
      </w:r>
      <w:r>
        <w:rPr>
          <w:rFonts w:ascii="Times New Roman" w:hAnsi="Times New Roman" w:cs="Times New Roman"/>
          <w:lang w:val="en-GB"/>
        </w:rPr>
        <w:t>no</w:t>
      </w:r>
      <w:r w:rsidR="000D4DA8" w:rsidRPr="00C961BD">
        <w:rPr>
          <w:rFonts w:ascii="Times New Roman" w:hAnsi="Times New Roman" w:cs="Times New Roman"/>
          <w:lang w:val="en-GB"/>
        </w:rPr>
        <w:t>. 35/05, 41/08, 125/11</w:t>
      </w:r>
      <w:r w:rsidR="006134D5" w:rsidRPr="00C961BD">
        <w:rPr>
          <w:rFonts w:ascii="Times New Roman" w:hAnsi="Times New Roman" w:cs="Times New Roman"/>
          <w:lang w:val="en-GB"/>
        </w:rPr>
        <w:t>, 78/15, 29/18, 126/21</w:t>
      </w:r>
      <w:r w:rsidR="000D4DA8" w:rsidRPr="00C961BD">
        <w:rPr>
          <w:rFonts w:ascii="Times New Roman" w:hAnsi="Times New Roman" w:cs="Times New Roman"/>
          <w:lang w:val="en-GB"/>
        </w:rPr>
        <w:t>.</w:t>
      </w:r>
    </w:p>
    <w:p w14:paraId="1B6433B7" w14:textId="0715986F"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t>Civil Procedure Act, Official Gazette of the Socialist Federal Republic of Yugoslavia no. 4/77, 36/77, 6/80, 36/80, 43/82, 69/82, 58/84, 74/87, 57/89, 20/90, 27/90, 35/91 and Official Gazette of the Republic of Croatia no</w:t>
      </w:r>
      <w:r w:rsidR="000D4DA8" w:rsidRPr="00C961BD">
        <w:rPr>
          <w:rFonts w:ascii="Times New Roman" w:hAnsi="Times New Roman" w:cs="Times New Roman"/>
          <w:lang w:val="en-GB"/>
        </w:rPr>
        <w:t>. 53/91, 91/92, 58/93, 112/99, 88/01, 117/03, 88/05,</w:t>
      </w:r>
      <w:r>
        <w:rPr>
          <w:rFonts w:ascii="Times New Roman" w:hAnsi="Times New Roman" w:cs="Times New Roman"/>
          <w:lang w:val="en-GB"/>
        </w:rPr>
        <w:t xml:space="preserve"> </w:t>
      </w:r>
      <w:r w:rsidR="000D4DA8" w:rsidRPr="00C961BD">
        <w:rPr>
          <w:rFonts w:ascii="Times New Roman" w:hAnsi="Times New Roman" w:cs="Times New Roman"/>
          <w:lang w:val="en-GB"/>
        </w:rPr>
        <w:t xml:space="preserve">02/07, 84/08, 96/08, 123/08, 57/11, 148/11, </w:t>
      </w:r>
      <w:r w:rsidR="006134D5" w:rsidRPr="00C961BD">
        <w:rPr>
          <w:rFonts w:ascii="Times New Roman" w:hAnsi="Times New Roman" w:cs="Times New Roman"/>
          <w:lang w:val="en-GB"/>
        </w:rPr>
        <w:t>25/13, 89/14, 70/19, 80/22</w:t>
      </w:r>
      <w:r w:rsidR="000D4DA8" w:rsidRPr="00C961BD">
        <w:rPr>
          <w:rFonts w:ascii="Times New Roman" w:hAnsi="Times New Roman" w:cs="Times New Roman"/>
          <w:lang w:val="en-GB"/>
        </w:rPr>
        <w:t>.</w:t>
      </w:r>
    </w:p>
    <w:p w14:paraId="6E20BBC9" w14:textId="46F8547C" w:rsidR="000D4DA8" w:rsidRPr="00C961BD" w:rsidRDefault="00F811D6" w:rsidP="00164E9F">
      <w:pPr>
        <w:spacing w:after="0" w:line="360" w:lineRule="auto"/>
        <w:jc w:val="both"/>
        <w:rPr>
          <w:rFonts w:ascii="Times New Roman" w:hAnsi="Times New Roman" w:cs="Times New Roman"/>
          <w:lang w:val="en-GB"/>
        </w:rPr>
      </w:pPr>
      <w:r w:rsidRPr="00F811D6">
        <w:rPr>
          <w:rFonts w:ascii="Times New Roman" w:hAnsi="Times New Roman" w:cs="Times New Roman"/>
          <w:lang w:val="en-GB"/>
        </w:rPr>
        <w:t>Act on Ownership and Other Proprietary Rights</w:t>
      </w:r>
      <w:r w:rsidR="000D4DA8" w:rsidRPr="00C961BD">
        <w:rPr>
          <w:rFonts w:ascii="Times New Roman" w:hAnsi="Times New Roman" w:cs="Times New Roman"/>
          <w:lang w:val="en-GB"/>
        </w:rPr>
        <w:t xml:space="preserve">, </w:t>
      </w:r>
      <w:r>
        <w:rPr>
          <w:rFonts w:ascii="Times New Roman" w:hAnsi="Times New Roman" w:cs="Times New Roman"/>
          <w:lang w:val="en-GB"/>
        </w:rPr>
        <w:t>Official Gazette</w:t>
      </w:r>
      <w:r w:rsidR="000D4DA8" w:rsidRPr="00C961BD">
        <w:rPr>
          <w:rFonts w:ascii="Times New Roman" w:hAnsi="Times New Roman" w:cs="Times New Roman"/>
          <w:lang w:val="en-GB"/>
        </w:rPr>
        <w:t xml:space="preserve"> </w:t>
      </w:r>
      <w:r>
        <w:rPr>
          <w:rFonts w:ascii="Times New Roman" w:hAnsi="Times New Roman" w:cs="Times New Roman"/>
          <w:lang w:val="en-GB"/>
        </w:rPr>
        <w:t>no</w:t>
      </w:r>
      <w:r w:rsidR="000D4DA8" w:rsidRPr="00C961BD">
        <w:rPr>
          <w:rFonts w:ascii="Times New Roman" w:hAnsi="Times New Roman" w:cs="Times New Roman"/>
          <w:lang w:val="en-GB"/>
        </w:rPr>
        <w:t>. 91/96, 68/98, 137/99, 22/00, 73/00,</w:t>
      </w:r>
      <w:r>
        <w:rPr>
          <w:rFonts w:ascii="Times New Roman" w:hAnsi="Times New Roman" w:cs="Times New Roman"/>
          <w:lang w:val="en-GB"/>
        </w:rPr>
        <w:t xml:space="preserve"> </w:t>
      </w:r>
      <w:r w:rsidR="000D4DA8" w:rsidRPr="00C961BD">
        <w:rPr>
          <w:rFonts w:ascii="Times New Roman" w:hAnsi="Times New Roman" w:cs="Times New Roman"/>
          <w:lang w:val="en-GB"/>
        </w:rPr>
        <w:t>129/00, 114/01, 79/06, 141/06, 146/08, 38/09, 153/09, 1</w:t>
      </w:r>
      <w:r w:rsidR="006134D5" w:rsidRPr="00C961BD">
        <w:rPr>
          <w:rFonts w:ascii="Times New Roman" w:hAnsi="Times New Roman" w:cs="Times New Roman"/>
          <w:lang w:val="en-GB"/>
        </w:rPr>
        <w:t>43/12, 152/14, 81/15, 94/17</w:t>
      </w:r>
      <w:r w:rsidR="000D4DA8" w:rsidRPr="00C961BD">
        <w:rPr>
          <w:rFonts w:ascii="Times New Roman" w:hAnsi="Times New Roman" w:cs="Times New Roman"/>
          <w:lang w:val="en-GB"/>
        </w:rPr>
        <w:t>.</w:t>
      </w:r>
    </w:p>
    <w:p w14:paraId="78D0F2B8" w14:textId="4336DF96" w:rsidR="000D4DA8" w:rsidRPr="00C961BD" w:rsidRDefault="00F811D6" w:rsidP="00C93B92">
      <w:pPr>
        <w:spacing w:after="120" w:line="360" w:lineRule="auto"/>
        <w:jc w:val="both"/>
        <w:rPr>
          <w:rFonts w:ascii="Times New Roman" w:hAnsi="Times New Roman" w:cs="Times New Roman"/>
          <w:lang w:val="en-GB"/>
        </w:rPr>
      </w:pPr>
      <w:r w:rsidRPr="00F811D6">
        <w:rPr>
          <w:rFonts w:ascii="Times New Roman" w:hAnsi="Times New Roman" w:cs="Times New Roman"/>
          <w:lang w:val="en-GB"/>
        </w:rPr>
        <w:t>Act on the Protection against Domestic Violence, Official Gazette no</w:t>
      </w:r>
      <w:r w:rsidR="000D4DA8" w:rsidRPr="00C961BD">
        <w:rPr>
          <w:rFonts w:ascii="Times New Roman" w:hAnsi="Times New Roman" w:cs="Times New Roman"/>
          <w:lang w:val="en-GB"/>
        </w:rPr>
        <w:t>. 70/1</w:t>
      </w:r>
      <w:r w:rsidR="006134D5" w:rsidRPr="00C961BD">
        <w:rPr>
          <w:rFonts w:ascii="Times New Roman" w:hAnsi="Times New Roman" w:cs="Times New Roman"/>
          <w:lang w:val="en-GB"/>
        </w:rPr>
        <w:t>7, 126/19, 84/21, 114/22</w:t>
      </w:r>
      <w:r w:rsidR="000D4DA8" w:rsidRPr="00C961BD">
        <w:rPr>
          <w:rFonts w:ascii="Times New Roman" w:hAnsi="Times New Roman" w:cs="Times New Roman"/>
          <w:lang w:val="en-GB"/>
        </w:rPr>
        <w:t>.</w:t>
      </w:r>
    </w:p>
    <w:p w14:paraId="30D2A0C8" w14:textId="0E3C86B8" w:rsidR="000D4DA8" w:rsidRPr="00C961BD" w:rsidRDefault="00F811D6" w:rsidP="00C93B92">
      <w:pPr>
        <w:spacing w:after="120" w:line="360" w:lineRule="auto"/>
        <w:rPr>
          <w:rFonts w:ascii="Times New Roman" w:hAnsi="Times New Roman" w:cs="Times New Roman"/>
          <w:b/>
          <w:lang w:val="en-GB"/>
        </w:rPr>
      </w:pPr>
      <w:r>
        <w:rPr>
          <w:rFonts w:ascii="Times New Roman" w:hAnsi="Times New Roman" w:cs="Times New Roman"/>
          <w:b/>
          <w:lang w:val="en-GB"/>
        </w:rPr>
        <w:t>Case-law</w:t>
      </w:r>
    </w:p>
    <w:p w14:paraId="1B6EF14D" w14:textId="4ED74967" w:rsidR="000D4DA8" w:rsidRPr="00C961BD" w:rsidRDefault="00F811D6" w:rsidP="00164E9F">
      <w:pPr>
        <w:spacing w:after="0" w:line="360" w:lineRule="auto"/>
        <w:jc w:val="both"/>
        <w:rPr>
          <w:rFonts w:ascii="Times New Roman" w:hAnsi="Times New Roman" w:cs="Times New Roman"/>
          <w:lang w:val="en-GB"/>
        </w:rPr>
      </w:pPr>
      <w:r>
        <w:rPr>
          <w:rFonts w:ascii="Times New Roman" w:hAnsi="Times New Roman" w:cs="Times New Roman"/>
          <w:lang w:val="en-GB"/>
        </w:rPr>
        <w:t>Municipal Court in Osijek (sitting in Beli Manastir)</w:t>
      </w:r>
      <w:r w:rsidR="00832F85" w:rsidRPr="00C961BD">
        <w:rPr>
          <w:rFonts w:ascii="Times New Roman" w:hAnsi="Times New Roman" w:cs="Times New Roman"/>
          <w:lang w:val="en-GB"/>
        </w:rPr>
        <w:t>, P-553/2019-26</w:t>
      </w:r>
      <w:r w:rsidR="000D4DA8" w:rsidRPr="00C961BD">
        <w:rPr>
          <w:rFonts w:ascii="Times New Roman" w:hAnsi="Times New Roman" w:cs="Times New Roman"/>
          <w:lang w:val="en-GB"/>
        </w:rPr>
        <w:t xml:space="preserve"> o</w:t>
      </w:r>
      <w:r>
        <w:rPr>
          <w:rFonts w:ascii="Times New Roman" w:hAnsi="Times New Roman" w:cs="Times New Roman"/>
          <w:lang w:val="en-GB"/>
        </w:rPr>
        <w:t>f 19 March 2021</w:t>
      </w:r>
      <w:r w:rsidR="000D4DA8" w:rsidRPr="00C961BD">
        <w:rPr>
          <w:rFonts w:ascii="Times New Roman" w:hAnsi="Times New Roman" w:cs="Times New Roman"/>
          <w:lang w:val="en-GB"/>
        </w:rPr>
        <w:t xml:space="preserve"> </w:t>
      </w:r>
    </w:p>
    <w:p w14:paraId="0A2BC5E2" w14:textId="23730085" w:rsidR="000D4DA8" w:rsidRPr="00C961BD" w:rsidRDefault="00F811D6" w:rsidP="00164E9F">
      <w:pPr>
        <w:spacing w:after="0" w:line="360" w:lineRule="auto"/>
        <w:jc w:val="both"/>
        <w:rPr>
          <w:rFonts w:ascii="Times New Roman" w:hAnsi="Times New Roman" w:cs="Times New Roman"/>
          <w:lang w:val="en-GB"/>
        </w:rPr>
      </w:pPr>
      <w:r>
        <w:rPr>
          <w:rFonts w:ascii="Times New Roman" w:hAnsi="Times New Roman" w:cs="Times New Roman"/>
          <w:lang w:val="en-GB"/>
        </w:rPr>
        <w:t>Constitutional Court of the Republic of Croa</w:t>
      </w:r>
      <w:r w:rsidR="00543B94">
        <w:rPr>
          <w:rFonts w:ascii="Times New Roman" w:hAnsi="Times New Roman" w:cs="Times New Roman"/>
          <w:lang w:val="en-GB"/>
        </w:rPr>
        <w:t>tia</w:t>
      </w:r>
      <w:r w:rsidR="00832F85" w:rsidRPr="00C961BD">
        <w:rPr>
          <w:rFonts w:ascii="Times New Roman" w:hAnsi="Times New Roman" w:cs="Times New Roman"/>
          <w:lang w:val="en-GB"/>
        </w:rPr>
        <w:t>, U-III-xxxx/2021</w:t>
      </w:r>
      <w:r w:rsidR="000D4DA8" w:rsidRPr="00C961BD">
        <w:rPr>
          <w:rFonts w:ascii="Times New Roman" w:hAnsi="Times New Roman" w:cs="Times New Roman"/>
          <w:lang w:val="en-GB"/>
        </w:rPr>
        <w:t xml:space="preserve"> o</w:t>
      </w:r>
      <w:r w:rsidR="00543B94">
        <w:rPr>
          <w:rFonts w:ascii="Times New Roman" w:hAnsi="Times New Roman" w:cs="Times New Roman"/>
          <w:lang w:val="en-GB"/>
        </w:rPr>
        <w:t xml:space="preserve">f 1 June </w:t>
      </w:r>
      <w:r w:rsidR="000D4DA8" w:rsidRPr="00C961BD">
        <w:rPr>
          <w:rFonts w:ascii="Times New Roman" w:hAnsi="Times New Roman" w:cs="Times New Roman"/>
          <w:lang w:val="en-GB"/>
        </w:rPr>
        <w:t>2021</w:t>
      </w:r>
    </w:p>
    <w:p w14:paraId="4C531756" w14:textId="2AE24385" w:rsidR="000D4DA8" w:rsidRPr="00C961BD" w:rsidRDefault="00543B94" w:rsidP="00164E9F">
      <w:pPr>
        <w:spacing w:after="0" w:line="360" w:lineRule="auto"/>
        <w:jc w:val="both"/>
        <w:rPr>
          <w:rFonts w:ascii="Times New Roman" w:hAnsi="Times New Roman" w:cs="Times New Roman"/>
          <w:lang w:val="en-GB"/>
        </w:rPr>
      </w:pPr>
      <w:r>
        <w:rPr>
          <w:rFonts w:ascii="Times New Roman" w:hAnsi="Times New Roman" w:cs="Times New Roman"/>
          <w:lang w:val="en-GB"/>
        </w:rPr>
        <w:t>Supreme Court of t</w:t>
      </w:r>
      <w:bookmarkStart w:id="22" w:name="_GoBack"/>
      <w:bookmarkEnd w:id="22"/>
      <w:r>
        <w:rPr>
          <w:rFonts w:ascii="Times New Roman" w:hAnsi="Times New Roman" w:cs="Times New Roman"/>
          <w:lang w:val="en-GB"/>
        </w:rPr>
        <w:t>he Republic of Croatia</w:t>
      </w:r>
      <w:r w:rsidR="00832F85" w:rsidRPr="00C961BD">
        <w:rPr>
          <w:rFonts w:ascii="Times New Roman" w:hAnsi="Times New Roman" w:cs="Times New Roman"/>
          <w:lang w:val="en-GB"/>
        </w:rPr>
        <w:t xml:space="preserve">, Rev-2705/12-2 </w:t>
      </w:r>
      <w:r w:rsidR="000D4DA8" w:rsidRPr="00C961BD">
        <w:rPr>
          <w:rFonts w:ascii="Times New Roman" w:hAnsi="Times New Roman" w:cs="Times New Roman"/>
          <w:lang w:val="en-GB"/>
        </w:rPr>
        <w:t>o</w:t>
      </w:r>
      <w:r>
        <w:rPr>
          <w:rFonts w:ascii="Times New Roman" w:hAnsi="Times New Roman" w:cs="Times New Roman"/>
          <w:lang w:val="en-GB"/>
        </w:rPr>
        <w:t>f 3 November</w:t>
      </w:r>
      <w:r w:rsidR="000D4DA8" w:rsidRPr="00C961BD">
        <w:rPr>
          <w:rFonts w:ascii="Times New Roman" w:hAnsi="Times New Roman" w:cs="Times New Roman"/>
          <w:lang w:val="en-GB"/>
        </w:rPr>
        <w:t xml:space="preserve"> 2016</w:t>
      </w:r>
    </w:p>
    <w:p w14:paraId="2AB32CD7" w14:textId="7FCCE82F" w:rsidR="000D4DA8" w:rsidRPr="00C961BD" w:rsidRDefault="00543B94" w:rsidP="00164E9F">
      <w:pPr>
        <w:spacing w:after="0" w:line="360" w:lineRule="auto"/>
        <w:jc w:val="both"/>
        <w:rPr>
          <w:rFonts w:ascii="Times New Roman" w:hAnsi="Times New Roman" w:cs="Times New Roman"/>
          <w:lang w:val="en-GB"/>
        </w:rPr>
      </w:pPr>
      <w:r w:rsidRPr="00543B94">
        <w:rPr>
          <w:rFonts w:ascii="Times New Roman" w:hAnsi="Times New Roman" w:cs="Times New Roman"/>
          <w:lang w:val="en-GB"/>
        </w:rPr>
        <w:t>Supreme Court of the Republic of Croatia</w:t>
      </w:r>
      <w:r w:rsidR="00832F85" w:rsidRPr="00C961BD">
        <w:rPr>
          <w:rFonts w:ascii="Times New Roman" w:hAnsi="Times New Roman" w:cs="Times New Roman"/>
          <w:lang w:val="en-GB"/>
        </w:rPr>
        <w:t>, Rev-X215/16-2</w:t>
      </w:r>
      <w:r w:rsidR="000D4DA8" w:rsidRPr="00C961BD">
        <w:rPr>
          <w:rFonts w:ascii="Times New Roman" w:hAnsi="Times New Roman" w:cs="Times New Roman"/>
          <w:lang w:val="en-GB"/>
        </w:rPr>
        <w:t xml:space="preserve"> o</w:t>
      </w:r>
      <w:r>
        <w:rPr>
          <w:rFonts w:ascii="Times New Roman" w:hAnsi="Times New Roman" w:cs="Times New Roman"/>
          <w:lang w:val="en-GB"/>
        </w:rPr>
        <w:t>f</w:t>
      </w:r>
      <w:r w:rsidR="000D4DA8" w:rsidRPr="00C961BD">
        <w:rPr>
          <w:rFonts w:ascii="Times New Roman" w:hAnsi="Times New Roman" w:cs="Times New Roman"/>
          <w:lang w:val="en-GB"/>
        </w:rPr>
        <w:t xml:space="preserve"> 23</w:t>
      </w:r>
      <w:r>
        <w:rPr>
          <w:rFonts w:ascii="Times New Roman" w:hAnsi="Times New Roman" w:cs="Times New Roman"/>
          <w:lang w:val="en-GB"/>
        </w:rPr>
        <w:t xml:space="preserve"> November</w:t>
      </w:r>
      <w:r w:rsidR="000D4DA8" w:rsidRPr="00C961BD">
        <w:rPr>
          <w:rFonts w:ascii="Times New Roman" w:hAnsi="Times New Roman" w:cs="Times New Roman"/>
          <w:lang w:val="en-GB"/>
        </w:rPr>
        <w:t xml:space="preserve"> 2016, </w:t>
      </w:r>
      <w:hyperlink r:id="rId8" w:history="1">
        <w:r w:rsidR="007C2EC6" w:rsidRPr="00C961BD">
          <w:rPr>
            <w:rStyle w:val="Hyperlink"/>
            <w:rFonts w:ascii="Times New Roman" w:hAnsi="Times New Roman" w:cs="Times New Roman"/>
            <w:lang w:val="en-GB"/>
          </w:rPr>
          <w:t>https://informator.hr/informatori/6491</w:t>
        </w:r>
      </w:hyperlink>
      <w:r w:rsidR="007C2EC6" w:rsidRPr="00C961BD">
        <w:rPr>
          <w:rFonts w:ascii="Times New Roman" w:hAnsi="Times New Roman" w:cs="Times New Roman"/>
          <w:lang w:val="en-GB"/>
        </w:rPr>
        <w:t xml:space="preserve"> (</w:t>
      </w:r>
      <w:r>
        <w:rPr>
          <w:rFonts w:ascii="Times New Roman" w:hAnsi="Times New Roman" w:cs="Times New Roman"/>
          <w:lang w:val="en-GB"/>
        </w:rPr>
        <w:t>accessed on</w:t>
      </w:r>
      <w:r w:rsidR="007C2EC6" w:rsidRPr="00C961BD">
        <w:rPr>
          <w:rFonts w:ascii="Times New Roman" w:hAnsi="Times New Roman" w:cs="Times New Roman"/>
          <w:lang w:val="en-GB"/>
        </w:rPr>
        <w:t xml:space="preserve"> </w:t>
      </w:r>
      <w:r>
        <w:rPr>
          <w:rFonts w:ascii="Times New Roman" w:hAnsi="Times New Roman" w:cs="Times New Roman"/>
          <w:lang w:val="en-GB"/>
        </w:rPr>
        <w:t xml:space="preserve">19 December </w:t>
      </w:r>
      <w:r w:rsidR="007C2EC6" w:rsidRPr="00C961BD">
        <w:rPr>
          <w:rFonts w:ascii="Times New Roman" w:hAnsi="Times New Roman" w:cs="Times New Roman"/>
          <w:lang w:val="en-GB"/>
        </w:rPr>
        <w:t>2022)</w:t>
      </w:r>
    </w:p>
    <w:p w14:paraId="36CBEB7A" w14:textId="16CD3FE8" w:rsidR="000D4DA8" w:rsidRPr="00C961BD" w:rsidRDefault="000D4DA8"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Vrhovni sud Republike Hrvatske/Pravna shvacanja-gradjanski-odjel, </w:t>
      </w:r>
      <w:hyperlink r:id="rId9" w:history="1">
        <w:r w:rsidR="00A926A3" w:rsidRPr="00C961BD">
          <w:rPr>
            <w:rStyle w:val="Hyperlink"/>
            <w:rFonts w:ascii="Times New Roman" w:hAnsi="Times New Roman" w:cs="Times New Roman"/>
            <w:lang w:val="en-GB"/>
          </w:rPr>
          <w:t>https://www.vsrh.hr/custompages/static/HRV/files/2021dok/Pravna%20shva%C4%87anja_GO/VSRH_GO_Su-IV-16-2021-5.pdf</w:t>
        </w:r>
      </w:hyperlink>
      <w:r w:rsidR="00A926A3" w:rsidRPr="00C961BD">
        <w:rPr>
          <w:rFonts w:ascii="Times New Roman" w:hAnsi="Times New Roman" w:cs="Times New Roman"/>
          <w:lang w:val="en-GB"/>
        </w:rPr>
        <w:t xml:space="preserve"> (</w:t>
      </w:r>
      <w:r w:rsidR="00543B94">
        <w:rPr>
          <w:rFonts w:ascii="Times New Roman" w:hAnsi="Times New Roman" w:cs="Times New Roman"/>
          <w:lang w:val="en-GB"/>
        </w:rPr>
        <w:t>accessed on 19 December</w:t>
      </w:r>
      <w:r w:rsidR="00A926A3" w:rsidRPr="00C961BD">
        <w:rPr>
          <w:rFonts w:ascii="Times New Roman" w:hAnsi="Times New Roman" w:cs="Times New Roman"/>
          <w:lang w:val="en-GB"/>
        </w:rPr>
        <w:t xml:space="preserve"> 202</w:t>
      </w:r>
      <w:r w:rsidR="00543B94">
        <w:rPr>
          <w:rFonts w:ascii="Times New Roman" w:hAnsi="Times New Roman" w:cs="Times New Roman"/>
          <w:lang w:val="en-GB"/>
        </w:rPr>
        <w:t>2</w:t>
      </w:r>
      <w:r w:rsidR="00A926A3" w:rsidRPr="00C961BD">
        <w:rPr>
          <w:rFonts w:ascii="Times New Roman" w:hAnsi="Times New Roman" w:cs="Times New Roman"/>
          <w:lang w:val="en-GB"/>
        </w:rPr>
        <w:t>)</w:t>
      </w:r>
    </w:p>
    <w:p w14:paraId="48158A13" w14:textId="12267FD6" w:rsidR="000D4DA8" w:rsidRPr="00C961BD" w:rsidRDefault="00543B94" w:rsidP="00164E9F">
      <w:pPr>
        <w:spacing w:after="0" w:line="360" w:lineRule="auto"/>
        <w:jc w:val="both"/>
        <w:rPr>
          <w:rFonts w:ascii="Times New Roman" w:hAnsi="Times New Roman" w:cs="Times New Roman"/>
          <w:lang w:val="en-GB"/>
        </w:rPr>
      </w:pPr>
      <w:r>
        <w:rPr>
          <w:rFonts w:ascii="Times New Roman" w:hAnsi="Times New Roman" w:cs="Times New Roman"/>
          <w:lang w:val="en-GB"/>
        </w:rPr>
        <w:t xml:space="preserve">County Court in </w:t>
      </w:r>
      <w:r w:rsidR="00832F85" w:rsidRPr="00C961BD">
        <w:rPr>
          <w:rFonts w:ascii="Times New Roman" w:hAnsi="Times New Roman" w:cs="Times New Roman"/>
          <w:lang w:val="en-GB"/>
        </w:rPr>
        <w:t>Varaždin, 26 Gž-581/2021-2</w:t>
      </w:r>
      <w:r w:rsidR="000D4DA8" w:rsidRPr="00C961BD">
        <w:rPr>
          <w:rFonts w:ascii="Times New Roman" w:hAnsi="Times New Roman" w:cs="Times New Roman"/>
          <w:lang w:val="en-GB"/>
        </w:rPr>
        <w:t xml:space="preserve"> o</w:t>
      </w:r>
      <w:r>
        <w:rPr>
          <w:rFonts w:ascii="Times New Roman" w:hAnsi="Times New Roman" w:cs="Times New Roman"/>
          <w:lang w:val="en-GB"/>
        </w:rPr>
        <w:t>f</w:t>
      </w:r>
      <w:r w:rsidR="000D4DA8" w:rsidRPr="00C961BD">
        <w:rPr>
          <w:rFonts w:ascii="Times New Roman" w:hAnsi="Times New Roman" w:cs="Times New Roman"/>
          <w:lang w:val="en-GB"/>
        </w:rPr>
        <w:t xml:space="preserve"> 22</w:t>
      </w:r>
      <w:r>
        <w:rPr>
          <w:rFonts w:ascii="Times New Roman" w:hAnsi="Times New Roman" w:cs="Times New Roman"/>
          <w:lang w:val="en-GB"/>
        </w:rPr>
        <w:t xml:space="preserve"> September</w:t>
      </w:r>
      <w:r w:rsidR="000D4DA8" w:rsidRPr="00C961BD">
        <w:rPr>
          <w:rFonts w:ascii="Times New Roman" w:hAnsi="Times New Roman" w:cs="Times New Roman"/>
          <w:lang w:val="en-GB"/>
        </w:rPr>
        <w:t xml:space="preserve"> 2021</w:t>
      </w:r>
    </w:p>
    <w:p w14:paraId="7D5EE42C" w14:textId="5C5ADBE6" w:rsidR="000D4DA8" w:rsidRPr="00C961BD" w:rsidRDefault="00543B94" w:rsidP="00C93B92">
      <w:pPr>
        <w:spacing w:after="120" w:line="360" w:lineRule="auto"/>
        <w:jc w:val="both"/>
        <w:rPr>
          <w:rFonts w:ascii="Times New Roman" w:hAnsi="Times New Roman" w:cs="Times New Roman"/>
          <w:lang w:val="en-GB"/>
        </w:rPr>
      </w:pPr>
      <w:r w:rsidRPr="00543B94">
        <w:rPr>
          <w:rFonts w:ascii="Times New Roman" w:hAnsi="Times New Roman" w:cs="Times New Roman"/>
          <w:lang w:val="en-GB"/>
        </w:rPr>
        <w:t>County Court in Varaždin</w:t>
      </w:r>
      <w:r w:rsidR="00832F85" w:rsidRPr="00C961BD">
        <w:rPr>
          <w:rFonts w:ascii="Times New Roman" w:hAnsi="Times New Roman" w:cs="Times New Roman"/>
          <w:lang w:val="en-GB"/>
        </w:rPr>
        <w:t>, Gž-116/08-2</w:t>
      </w:r>
      <w:r w:rsidR="000D4DA8" w:rsidRPr="00C961BD">
        <w:rPr>
          <w:rFonts w:ascii="Times New Roman" w:hAnsi="Times New Roman" w:cs="Times New Roman"/>
          <w:lang w:val="en-GB"/>
        </w:rPr>
        <w:t xml:space="preserve"> o</w:t>
      </w:r>
      <w:r>
        <w:rPr>
          <w:rFonts w:ascii="Times New Roman" w:hAnsi="Times New Roman" w:cs="Times New Roman"/>
          <w:lang w:val="en-GB"/>
        </w:rPr>
        <w:t>f</w:t>
      </w:r>
      <w:r w:rsidR="000D4DA8" w:rsidRPr="00C961BD">
        <w:rPr>
          <w:rFonts w:ascii="Times New Roman" w:hAnsi="Times New Roman" w:cs="Times New Roman"/>
          <w:lang w:val="en-GB"/>
        </w:rPr>
        <w:t xml:space="preserve"> 9</w:t>
      </w:r>
      <w:r>
        <w:rPr>
          <w:rFonts w:ascii="Times New Roman" w:hAnsi="Times New Roman" w:cs="Times New Roman"/>
          <w:lang w:val="en-GB"/>
        </w:rPr>
        <w:t xml:space="preserve"> April</w:t>
      </w:r>
      <w:r w:rsidR="000D4DA8" w:rsidRPr="00C961BD">
        <w:rPr>
          <w:rFonts w:ascii="Times New Roman" w:hAnsi="Times New Roman" w:cs="Times New Roman"/>
          <w:lang w:val="en-GB"/>
        </w:rPr>
        <w:t xml:space="preserve"> 2008</w:t>
      </w:r>
    </w:p>
    <w:p w14:paraId="44E85E9B" w14:textId="235D78C4" w:rsidR="00164E9F" w:rsidRPr="00C961BD" w:rsidRDefault="00F811D6" w:rsidP="00C93B92">
      <w:pPr>
        <w:spacing w:after="120" w:line="360" w:lineRule="auto"/>
        <w:jc w:val="both"/>
        <w:rPr>
          <w:rFonts w:ascii="Times New Roman" w:hAnsi="Times New Roman" w:cs="Times New Roman"/>
          <w:b/>
          <w:bCs/>
          <w:lang w:val="en-GB"/>
        </w:rPr>
      </w:pPr>
      <w:r>
        <w:rPr>
          <w:rFonts w:ascii="Times New Roman" w:hAnsi="Times New Roman" w:cs="Times New Roman"/>
          <w:b/>
          <w:bCs/>
          <w:lang w:val="en-GB"/>
        </w:rPr>
        <w:t>Other sources</w:t>
      </w:r>
    </w:p>
    <w:p w14:paraId="0BBD91E6" w14:textId="10094599" w:rsidR="00164E9F" w:rsidRPr="00C961BD" w:rsidRDefault="00164E9F" w:rsidP="00164E9F">
      <w:pPr>
        <w:spacing w:after="0" w:line="360" w:lineRule="auto"/>
        <w:jc w:val="both"/>
        <w:rPr>
          <w:rFonts w:ascii="Times New Roman" w:hAnsi="Times New Roman" w:cs="Times New Roman"/>
          <w:lang w:val="en-GB"/>
        </w:rPr>
      </w:pPr>
      <w:r w:rsidRPr="00C961BD">
        <w:rPr>
          <w:rFonts w:ascii="Times New Roman" w:hAnsi="Times New Roman" w:cs="Times New Roman"/>
          <w:lang w:val="en-GB"/>
        </w:rPr>
        <w:t xml:space="preserve">Arlović, Mato, </w:t>
      </w:r>
      <w:r w:rsidR="00F811D6">
        <w:rPr>
          <w:rFonts w:ascii="Times New Roman" w:hAnsi="Times New Roman" w:cs="Times New Roman"/>
          <w:lang w:val="en-GB"/>
        </w:rPr>
        <w:t>personal interview</w:t>
      </w:r>
      <w:r w:rsidRPr="00C961BD">
        <w:rPr>
          <w:rFonts w:ascii="Times New Roman" w:hAnsi="Times New Roman" w:cs="Times New Roman"/>
          <w:lang w:val="en-GB"/>
        </w:rPr>
        <w:t>, 25</w:t>
      </w:r>
      <w:r w:rsidR="00F811D6">
        <w:rPr>
          <w:rFonts w:ascii="Times New Roman" w:hAnsi="Times New Roman" w:cs="Times New Roman"/>
          <w:lang w:val="en-GB"/>
        </w:rPr>
        <w:t xml:space="preserve"> November</w:t>
      </w:r>
      <w:r w:rsidRPr="00C961BD">
        <w:rPr>
          <w:rFonts w:ascii="Times New Roman" w:hAnsi="Times New Roman" w:cs="Times New Roman"/>
          <w:lang w:val="en-GB"/>
        </w:rPr>
        <w:t xml:space="preserve"> 2022</w:t>
      </w:r>
    </w:p>
    <w:p w14:paraId="6F7D5C7A" w14:textId="3751A59D" w:rsidR="00AD1E0C" w:rsidRPr="00C961BD" w:rsidRDefault="00AD1E0C" w:rsidP="00E6383F">
      <w:pPr>
        <w:spacing w:after="0" w:line="360" w:lineRule="auto"/>
        <w:jc w:val="both"/>
        <w:rPr>
          <w:rFonts w:ascii="Times New Roman" w:hAnsi="Times New Roman" w:cs="Times New Roman"/>
          <w:lang w:val="en-GB"/>
        </w:rPr>
      </w:pPr>
    </w:p>
    <w:p w14:paraId="62EB6B3D" w14:textId="6B5D84EE" w:rsidR="00266E9C" w:rsidRPr="00C961BD" w:rsidRDefault="00266E9C" w:rsidP="00266E9C">
      <w:pPr>
        <w:spacing w:after="0" w:line="360" w:lineRule="auto"/>
        <w:jc w:val="both"/>
        <w:rPr>
          <w:rFonts w:ascii="Times New Roman" w:hAnsi="Times New Roman" w:cs="Times New Roman"/>
          <w:i/>
          <w:iCs/>
          <w:lang w:val="en-GB"/>
        </w:rPr>
      </w:pPr>
    </w:p>
    <w:p w14:paraId="7DC19ECF" w14:textId="77777777" w:rsidR="006134D5" w:rsidRPr="00C961BD" w:rsidRDefault="006134D5" w:rsidP="00266E9C">
      <w:pPr>
        <w:spacing w:after="0" w:line="360" w:lineRule="auto"/>
        <w:jc w:val="both"/>
        <w:rPr>
          <w:rFonts w:ascii="Times New Roman" w:hAnsi="Times New Roman" w:cs="Times New Roman"/>
          <w:i/>
          <w:iCs/>
          <w:lang w:val="en-GB"/>
        </w:rPr>
      </w:pPr>
    </w:p>
    <w:p w14:paraId="0828F038" w14:textId="3934632C" w:rsidR="00E6383F" w:rsidRPr="00C961BD" w:rsidRDefault="00E6383F" w:rsidP="007A4961">
      <w:pPr>
        <w:spacing w:line="360" w:lineRule="auto"/>
        <w:ind w:firstLine="720"/>
        <w:jc w:val="both"/>
        <w:rPr>
          <w:rFonts w:ascii="Times New Roman" w:hAnsi="Times New Roman" w:cs="Times New Roman"/>
          <w:b/>
          <w:bCs/>
          <w:i/>
          <w:iCs/>
          <w:lang w:val="en-GB"/>
        </w:rPr>
      </w:pPr>
    </w:p>
    <w:p w14:paraId="48A7B666" w14:textId="77777777" w:rsidR="00083A42" w:rsidRPr="00C961BD" w:rsidRDefault="00083A42">
      <w:pPr>
        <w:spacing w:line="360" w:lineRule="auto"/>
        <w:ind w:firstLine="720"/>
        <w:jc w:val="both"/>
        <w:rPr>
          <w:rFonts w:ascii="Times New Roman" w:hAnsi="Times New Roman" w:cs="Times New Roman"/>
          <w:b/>
          <w:bCs/>
          <w:i/>
          <w:iCs/>
          <w:lang w:val="en-GB"/>
        </w:rPr>
      </w:pPr>
    </w:p>
    <w:sectPr w:rsidR="00083A42" w:rsidRPr="00C961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9DB4" w14:textId="77777777" w:rsidR="0046393E" w:rsidRDefault="0046393E" w:rsidP="00B72926">
      <w:pPr>
        <w:spacing w:after="0" w:line="240" w:lineRule="auto"/>
      </w:pPr>
      <w:r>
        <w:separator/>
      </w:r>
    </w:p>
  </w:endnote>
  <w:endnote w:type="continuationSeparator" w:id="0">
    <w:p w14:paraId="6B46FCAD" w14:textId="77777777" w:rsidR="0046393E" w:rsidRDefault="0046393E" w:rsidP="00B72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147FE" w14:textId="77777777" w:rsidR="00A364B0" w:rsidRDefault="00A3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880883"/>
      <w:docPartObj>
        <w:docPartGallery w:val="Page Numbers (Bottom of Page)"/>
        <w:docPartUnique/>
      </w:docPartObj>
    </w:sdtPr>
    <w:sdtEndPr>
      <w:rPr>
        <w:noProof/>
      </w:rPr>
    </w:sdtEndPr>
    <w:sdtContent>
      <w:p w14:paraId="6209CC3E" w14:textId="1F2FF464" w:rsidR="00A364B0" w:rsidRDefault="00A364B0">
        <w:pPr>
          <w:pStyle w:val="Footer"/>
          <w:jc w:val="right"/>
        </w:pPr>
        <w:r>
          <w:fldChar w:fldCharType="begin"/>
        </w:r>
        <w:r>
          <w:instrText xml:space="preserve"> PAGE   \* MERGEFORMAT </w:instrText>
        </w:r>
        <w:r>
          <w:fldChar w:fldCharType="separate"/>
        </w:r>
        <w:r>
          <w:rPr>
            <w:noProof/>
          </w:rPr>
          <w:t>1</w:t>
        </w:r>
        <w:r>
          <w:rPr>
            <w:noProof/>
          </w:rPr>
          <w:t>9</w:t>
        </w:r>
        <w:r>
          <w:rPr>
            <w:noProof/>
          </w:rPr>
          <w:fldChar w:fldCharType="end"/>
        </w:r>
      </w:p>
    </w:sdtContent>
  </w:sdt>
  <w:p w14:paraId="2CED4F46" w14:textId="77777777" w:rsidR="00A364B0" w:rsidRDefault="00A36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B00D" w14:textId="77777777" w:rsidR="00A364B0" w:rsidRDefault="00A3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B2781" w14:textId="77777777" w:rsidR="0046393E" w:rsidRDefault="0046393E" w:rsidP="00B72926">
      <w:pPr>
        <w:spacing w:after="0" w:line="240" w:lineRule="auto"/>
      </w:pPr>
      <w:r>
        <w:separator/>
      </w:r>
    </w:p>
  </w:footnote>
  <w:footnote w:type="continuationSeparator" w:id="0">
    <w:p w14:paraId="0B29F377" w14:textId="77777777" w:rsidR="0046393E" w:rsidRDefault="0046393E" w:rsidP="00B72926">
      <w:pPr>
        <w:spacing w:after="0" w:line="240" w:lineRule="auto"/>
      </w:pPr>
      <w:r>
        <w:continuationSeparator/>
      </w:r>
    </w:p>
  </w:footnote>
  <w:footnote w:id="1">
    <w:p w14:paraId="711A58AE" w14:textId="663624AD" w:rsidR="00A364B0" w:rsidRPr="00600620" w:rsidRDefault="00A364B0" w:rsidP="00FD2D43">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Each owner's </w:t>
      </w:r>
      <w:r>
        <w:rPr>
          <w:rFonts w:ascii="Times New Roman" w:hAnsi="Times New Roman" w:cs="Times New Roman"/>
          <w:lang w:val="en-GB"/>
        </w:rPr>
        <w:t>share is based on a quota; that is why it is called aliquot share</w:t>
      </w:r>
      <w:r w:rsidRPr="00600620">
        <w:rPr>
          <w:rFonts w:ascii="Times New Roman" w:hAnsi="Times New Roman" w:cs="Times New Roman"/>
          <w:lang w:val="en-GB"/>
        </w:rPr>
        <w:t xml:space="preserve">. </w:t>
      </w:r>
      <w:r>
        <w:rPr>
          <w:rFonts w:ascii="Times New Roman" w:hAnsi="Times New Roman" w:cs="Times New Roman"/>
          <w:lang w:val="en-GB"/>
        </w:rPr>
        <w:t>L</w:t>
      </w:r>
      <w:r w:rsidRPr="00600620">
        <w:rPr>
          <w:rFonts w:ascii="Times New Roman" w:hAnsi="Times New Roman" w:cs="Times New Roman"/>
          <w:lang w:val="en-GB"/>
        </w:rPr>
        <w:t xml:space="preserve">at. </w:t>
      </w:r>
      <w:r w:rsidRPr="00600620">
        <w:rPr>
          <w:rFonts w:ascii="Times New Roman" w:hAnsi="Times New Roman" w:cs="Times New Roman"/>
          <w:i/>
          <w:lang w:val="en-GB"/>
        </w:rPr>
        <w:t>aliquoties</w:t>
      </w:r>
      <w:r w:rsidRPr="00600620">
        <w:rPr>
          <w:rFonts w:ascii="Times New Roman" w:hAnsi="Times New Roman" w:cs="Times New Roman"/>
          <w:lang w:val="en-GB"/>
        </w:rPr>
        <w:t xml:space="preserve"> – </w:t>
      </w:r>
      <w:r>
        <w:rPr>
          <w:rFonts w:ascii="Times New Roman" w:hAnsi="Times New Roman" w:cs="Times New Roman"/>
          <w:lang w:val="en-GB"/>
        </w:rPr>
        <w:t>several times</w:t>
      </w:r>
      <w:r w:rsidRPr="00600620">
        <w:rPr>
          <w:rFonts w:ascii="Times New Roman" w:hAnsi="Times New Roman" w:cs="Times New Roman"/>
          <w:lang w:val="en-GB"/>
        </w:rPr>
        <w:t xml:space="preserve"> (Klarić, Vedriš, 2006 p. 248).</w:t>
      </w:r>
    </w:p>
  </w:footnote>
  <w:footnote w:id="2">
    <w:p w14:paraId="519FC990" w14:textId="78EAFD80" w:rsidR="00A364B0" w:rsidRPr="00600620" w:rsidRDefault="00A364B0" w:rsidP="00090BE9">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Most of those cases concern (co-)ownership of real (immovable) property</w:t>
      </w:r>
      <w:r w:rsidRPr="00600620">
        <w:rPr>
          <w:rFonts w:ascii="Times New Roman" w:hAnsi="Times New Roman" w:cs="Times New Roman"/>
          <w:lang w:val="en-GB"/>
        </w:rPr>
        <w:t xml:space="preserve">. </w:t>
      </w:r>
      <w:r>
        <w:rPr>
          <w:rFonts w:ascii="Times New Roman" w:hAnsi="Times New Roman" w:cs="Times New Roman"/>
          <w:lang w:val="en-GB"/>
        </w:rPr>
        <w:t>However, a case can also revolve around movable property. Before all, around those objects which a user can benefit from, e.g. a vehicle registered to provide taxi services</w:t>
      </w:r>
      <w:r w:rsidRPr="00600620">
        <w:rPr>
          <w:rFonts w:ascii="Times New Roman" w:hAnsi="Times New Roman" w:cs="Times New Roman"/>
          <w:lang w:val="en-GB"/>
        </w:rPr>
        <w:t>.</w:t>
      </w:r>
    </w:p>
  </w:footnote>
  <w:footnote w:id="3">
    <w:p w14:paraId="292D2848" w14:textId="4C489BA5" w:rsidR="00A364B0" w:rsidRPr="00600620" w:rsidRDefault="00A364B0" w:rsidP="00AA6705">
      <w:pPr>
        <w:pStyle w:val="FootnoteText"/>
        <w:jc w:val="both"/>
        <w:rPr>
          <w:lang w:val="en-GB"/>
        </w:rPr>
      </w:pPr>
      <w:r w:rsidRPr="00600620">
        <w:rPr>
          <w:rStyle w:val="FootnoteReference"/>
          <w:lang w:val="en-GB"/>
        </w:rPr>
        <w:footnoteRef/>
      </w:r>
      <w:r w:rsidRPr="00600620">
        <w:rPr>
          <w:lang w:val="en-GB"/>
        </w:rPr>
        <w:t xml:space="preserve"> </w:t>
      </w:r>
      <w:bookmarkStart w:id="4" w:name="_Hlk121068260"/>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SCRC</w:t>
      </w:r>
      <w:r w:rsidRPr="00600620">
        <w:rPr>
          <w:rFonts w:ascii="Times New Roman" w:hAnsi="Times New Roman" w:cs="Times New Roman"/>
          <w:lang w:val="en-GB"/>
        </w:rPr>
        <w:t>.</w:t>
      </w:r>
      <w:bookmarkEnd w:id="4"/>
    </w:p>
  </w:footnote>
  <w:footnote w:id="4">
    <w:p w14:paraId="446F0DCD" w14:textId="1C997AF5" w:rsidR="00A364B0" w:rsidRPr="00600620" w:rsidRDefault="00A364B0" w:rsidP="00FB27A3">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Civil Procedure Act, Official Gazette of the Socialist Federal Republic of Yugoslavia no. 4/77, 36/77, 6/80, 36/80, 43/82, 69/82, 58/84, 74/87, 57/89, 20/90, 27/90, 35/91 and Official Gazette of the Republic of Croatia no. 53/91, 91/92, 58/93, 112/99, 88/01, 117/03, 88/05, 02/07, 84/08, 96/08, 123/08, 57/11, 148/11, 25/13, 89/14, 70/19, 80/22, hereinafter: CPA.</w:t>
      </w:r>
    </w:p>
  </w:footnote>
  <w:footnote w:id="5">
    <w:p w14:paraId="5A01A926" w14:textId="632932A0" w:rsidR="00A364B0" w:rsidRPr="00600620" w:rsidRDefault="00A364B0" w:rsidP="00E40EA7">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bookmarkStart w:id="7" w:name="_Hlk136858270"/>
      <w:r>
        <w:rPr>
          <w:rFonts w:ascii="Times New Roman" w:hAnsi="Times New Roman" w:cs="Times New Roman"/>
          <w:lang w:val="en-GB"/>
        </w:rPr>
        <w:t>Article</w:t>
      </w:r>
      <w:r w:rsidRPr="00600620">
        <w:rPr>
          <w:rFonts w:ascii="Times New Roman" w:hAnsi="Times New Roman" w:cs="Times New Roman"/>
          <w:lang w:val="en-GB"/>
        </w:rPr>
        <w:t xml:space="preserve"> 36 </w:t>
      </w:r>
      <w:r>
        <w:rPr>
          <w:rFonts w:ascii="Times New Roman" w:hAnsi="Times New Roman" w:cs="Times New Roman"/>
          <w:lang w:val="en-GB"/>
        </w:rPr>
        <w:t>paragraph</w:t>
      </w:r>
      <w:r w:rsidRPr="00600620">
        <w:rPr>
          <w:rFonts w:ascii="Times New Roman" w:hAnsi="Times New Roman" w:cs="Times New Roman"/>
          <w:lang w:val="en-GB"/>
        </w:rPr>
        <w:t xml:space="preserve"> 1</w:t>
      </w:r>
      <w:r>
        <w:rPr>
          <w:rFonts w:ascii="Times New Roman" w:hAnsi="Times New Roman" w:cs="Times New Roman"/>
          <w:lang w:val="en-GB"/>
        </w:rPr>
        <w:t xml:space="preserve"> </w:t>
      </w:r>
      <w:bookmarkEnd w:id="7"/>
      <w:r>
        <w:rPr>
          <w:rFonts w:ascii="Times New Roman" w:hAnsi="Times New Roman" w:cs="Times New Roman"/>
          <w:lang w:val="en-GB"/>
        </w:rPr>
        <w:t>of the</w:t>
      </w:r>
      <w:r w:rsidRPr="00600620">
        <w:rPr>
          <w:rFonts w:ascii="Times New Roman" w:hAnsi="Times New Roman" w:cs="Times New Roman"/>
          <w:lang w:val="en-GB"/>
        </w:rPr>
        <w:t xml:space="preserve"> </w:t>
      </w:r>
      <w:bookmarkStart w:id="8" w:name="_Hlk136850927"/>
      <w:r w:rsidRPr="005A6310">
        <w:rPr>
          <w:rFonts w:ascii="Times New Roman" w:hAnsi="Times New Roman" w:cs="Times New Roman"/>
          <w:lang w:val="en-GB"/>
        </w:rPr>
        <w:t>Act on Ownership and Other Proprietary Rights</w:t>
      </w:r>
      <w:bookmarkEnd w:id="8"/>
      <w:r w:rsidRPr="00600620">
        <w:rPr>
          <w:rFonts w:ascii="Times New Roman" w:hAnsi="Times New Roman" w:cs="Times New Roman"/>
          <w:lang w:val="en-GB"/>
        </w:rPr>
        <w:t xml:space="preserve">, </w:t>
      </w:r>
      <w:r>
        <w:rPr>
          <w:rFonts w:ascii="Times New Roman" w:hAnsi="Times New Roman" w:cs="Times New Roman"/>
          <w:lang w:val="en-GB"/>
        </w:rPr>
        <w:t>Official Gazette</w:t>
      </w:r>
      <w:r w:rsidRPr="00600620">
        <w:rPr>
          <w:rFonts w:ascii="Times New Roman" w:hAnsi="Times New Roman" w:cs="Times New Roman"/>
          <w:lang w:val="en-GB"/>
        </w:rPr>
        <w:t xml:space="preserve"> </w:t>
      </w:r>
      <w:r>
        <w:rPr>
          <w:rFonts w:ascii="Times New Roman" w:hAnsi="Times New Roman" w:cs="Times New Roman"/>
          <w:lang w:val="en-GB"/>
        </w:rPr>
        <w:t>no</w:t>
      </w:r>
      <w:r w:rsidRPr="00600620">
        <w:rPr>
          <w:rFonts w:ascii="Times New Roman" w:hAnsi="Times New Roman" w:cs="Times New Roman"/>
          <w:lang w:val="en-GB"/>
        </w:rPr>
        <w:t xml:space="preserve">. 91/96, 68/98, 137/99, 22/00, 73/00, 129/00, 114/01, 79/06, 141/06, 146/08, 38/09, 153/09, 143/12, 152/14, 81/15, 94/17,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AOOPR</w:t>
      </w:r>
      <w:r w:rsidRPr="00600620">
        <w:rPr>
          <w:rFonts w:ascii="Times New Roman" w:hAnsi="Times New Roman" w:cs="Times New Roman"/>
          <w:lang w:val="en-GB"/>
        </w:rPr>
        <w:t>.</w:t>
      </w:r>
    </w:p>
  </w:footnote>
  <w:footnote w:id="6">
    <w:p w14:paraId="667A7490" w14:textId="2142AFED" w:rsidR="00A364B0" w:rsidRPr="00600620" w:rsidRDefault="00A364B0" w:rsidP="00F861B8">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3</w:t>
      </w:r>
      <w:r>
        <w:rPr>
          <w:rFonts w:ascii="Times New Roman" w:hAnsi="Times New Roman" w:cs="Times New Roman"/>
          <w:lang w:val="en-GB"/>
        </w:rPr>
        <w:t>8</w:t>
      </w:r>
      <w:r w:rsidRPr="00600620">
        <w:rPr>
          <w:rFonts w:ascii="Times New Roman" w:hAnsi="Times New Roman" w:cs="Times New Roman"/>
          <w:lang w:val="en-GB"/>
        </w:rPr>
        <w:t xml:space="preserve"> </w:t>
      </w:r>
      <w:r>
        <w:rPr>
          <w:rFonts w:ascii="Times New Roman" w:hAnsi="Times New Roman" w:cs="Times New Roman"/>
          <w:lang w:val="en-GB"/>
        </w:rPr>
        <w:t>paragraph</w:t>
      </w:r>
      <w:r w:rsidRPr="00600620">
        <w:rPr>
          <w:rFonts w:ascii="Times New Roman" w:hAnsi="Times New Roman" w:cs="Times New Roman"/>
          <w:lang w:val="en-GB"/>
        </w:rPr>
        <w:t xml:space="preserve"> 1</w:t>
      </w:r>
      <w:r>
        <w:rPr>
          <w:rFonts w:ascii="Times New Roman" w:hAnsi="Times New Roman" w:cs="Times New Roman"/>
          <w:lang w:val="en-GB"/>
        </w:rPr>
        <w:t xml:space="preserve"> of the AOOPR</w:t>
      </w:r>
      <w:r w:rsidRPr="00600620">
        <w:rPr>
          <w:rFonts w:ascii="Times New Roman" w:hAnsi="Times New Roman" w:cs="Times New Roman"/>
          <w:lang w:val="en-GB"/>
        </w:rPr>
        <w:t>.</w:t>
      </w:r>
    </w:p>
  </w:footnote>
  <w:footnote w:id="7">
    <w:p w14:paraId="7FB6F10C" w14:textId="2CF43CD7" w:rsidR="00A364B0" w:rsidRPr="00600620" w:rsidRDefault="00A364B0" w:rsidP="008262A4">
      <w:pPr>
        <w:pStyle w:val="FootnoteText"/>
        <w:jc w:val="both"/>
        <w:rPr>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3</w:t>
      </w:r>
      <w:r>
        <w:rPr>
          <w:rFonts w:ascii="Times New Roman" w:hAnsi="Times New Roman" w:cs="Times New Roman"/>
          <w:lang w:val="en-GB"/>
        </w:rPr>
        <w:t>9</w:t>
      </w:r>
      <w:r w:rsidRPr="00600620">
        <w:rPr>
          <w:rFonts w:ascii="Times New Roman" w:hAnsi="Times New Roman" w:cs="Times New Roman"/>
          <w:lang w:val="en-GB"/>
        </w:rPr>
        <w:t xml:space="preserve"> </w:t>
      </w:r>
      <w:r>
        <w:rPr>
          <w:rFonts w:ascii="Times New Roman" w:hAnsi="Times New Roman" w:cs="Times New Roman"/>
          <w:lang w:val="en-GB"/>
        </w:rPr>
        <w:t>paragraph</w:t>
      </w:r>
      <w:r w:rsidRPr="00600620">
        <w:rPr>
          <w:rFonts w:ascii="Times New Roman" w:hAnsi="Times New Roman" w:cs="Times New Roman"/>
          <w:lang w:val="en-GB"/>
        </w:rPr>
        <w:t xml:space="preserve"> </w:t>
      </w:r>
      <w:r>
        <w:rPr>
          <w:rFonts w:ascii="Times New Roman" w:hAnsi="Times New Roman" w:cs="Times New Roman"/>
          <w:lang w:val="en-GB"/>
        </w:rPr>
        <w:t>2 of the AOOPR</w:t>
      </w:r>
      <w:r w:rsidRPr="00600620">
        <w:rPr>
          <w:rFonts w:ascii="Times New Roman" w:hAnsi="Times New Roman" w:cs="Times New Roman"/>
          <w:lang w:val="en-GB"/>
        </w:rPr>
        <w:t>.</w:t>
      </w:r>
    </w:p>
  </w:footnote>
  <w:footnote w:id="8">
    <w:p w14:paraId="284A5D16" w14:textId="4CE4BA1C" w:rsidR="00A364B0" w:rsidRPr="00600620" w:rsidRDefault="00A364B0" w:rsidP="00DD641E">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E.g.</w:t>
      </w:r>
      <w:r w:rsidRPr="00600620">
        <w:rPr>
          <w:rFonts w:ascii="Times New Roman" w:hAnsi="Times New Roman" w:cs="Times New Roman"/>
          <w:lang w:val="en-GB"/>
        </w:rPr>
        <w:t xml:space="preserve"> </w:t>
      </w:r>
      <w:r>
        <w:rPr>
          <w:rFonts w:ascii="Times New Roman" w:hAnsi="Times New Roman" w:cs="Times New Roman"/>
          <w:lang w:val="en-GB"/>
        </w:rPr>
        <w:t>in case of the ownership of apartments, the AOOPR requires from the co-owners to make a written decision thereon</w:t>
      </w:r>
      <w:r w:rsidRPr="00600620">
        <w:rPr>
          <w:rFonts w:ascii="Times New Roman" w:hAnsi="Times New Roman" w:cs="Times New Roman"/>
          <w:lang w:val="en-GB"/>
        </w:rPr>
        <w:t xml:space="preserve">. </w:t>
      </w:r>
      <w:bookmarkStart w:id="9" w:name="_Hlk135749128"/>
      <w:r w:rsidRPr="00600620">
        <w:rPr>
          <w:rFonts w:ascii="Times New Roman" w:hAnsi="Times New Roman" w:cs="Times New Roman"/>
          <w:lang w:val="en-GB"/>
        </w:rPr>
        <w:t>(Gavella et.al., 2007 p. 693).</w:t>
      </w:r>
      <w:bookmarkEnd w:id="9"/>
    </w:p>
  </w:footnote>
  <w:footnote w:id="9">
    <w:p w14:paraId="4126F7F7" w14:textId="786A5CA6" w:rsidR="00A364B0" w:rsidRPr="00600620" w:rsidRDefault="00A364B0" w:rsidP="00E0139E">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Pr="005A6310">
        <w:rPr>
          <w:rFonts w:ascii="Times New Roman" w:hAnsi="Times New Roman" w:cs="Times New Roman"/>
          <w:lang w:val="en-GB"/>
        </w:rPr>
        <w:t xml:space="preserve">Article </w:t>
      </w:r>
      <w:r>
        <w:rPr>
          <w:rFonts w:ascii="Times New Roman" w:hAnsi="Times New Roman" w:cs="Times New Roman"/>
          <w:lang w:val="en-GB"/>
        </w:rPr>
        <w:t>42</w:t>
      </w:r>
      <w:r w:rsidRPr="005A6310">
        <w:rPr>
          <w:rFonts w:ascii="Times New Roman" w:hAnsi="Times New Roman" w:cs="Times New Roman"/>
          <w:lang w:val="en-GB"/>
        </w:rPr>
        <w:t xml:space="preserve"> paragraph </w:t>
      </w:r>
      <w:r>
        <w:rPr>
          <w:rFonts w:ascii="Times New Roman" w:hAnsi="Times New Roman" w:cs="Times New Roman"/>
          <w:lang w:val="en-GB"/>
        </w:rPr>
        <w:t>2</w:t>
      </w:r>
      <w:r w:rsidRPr="005A6310">
        <w:rPr>
          <w:rFonts w:ascii="Times New Roman" w:hAnsi="Times New Roman" w:cs="Times New Roman"/>
          <w:lang w:val="en-GB"/>
        </w:rPr>
        <w:t xml:space="preserve"> of the AOOPR</w:t>
      </w:r>
      <w:r w:rsidRPr="00600620">
        <w:rPr>
          <w:rFonts w:ascii="Times New Roman" w:hAnsi="Times New Roman" w:cs="Times New Roman"/>
          <w:lang w:val="en-GB"/>
        </w:rPr>
        <w:t>.</w:t>
      </w:r>
    </w:p>
  </w:footnote>
  <w:footnote w:id="10">
    <w:p w14:paraId="0F039B45" w14:textId="5783CD16" w:rsidR="00A364B0" w:rsidRPr="00600620" w:rsidRDefault="00A364B0" w:rsidP="00E3237C">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Common property management is not always regulated by the same rules. There are special rules for deals governed by ordinary administration and special rules for deals governed by extraordinary administration</w:t>
      </w:r>
      <w:r w:rsidRPr="00600620">
        <w:rPr>
          <w:rFonts w:ascii="Times New Roman" w:hAnsi="Times New Roman" w:cs="Times New Roman"/>
          <w:lang w:val="en-GB"/>
        </w:rPr>
        <w:t xml:space="preserve">. </w:t>
      </w:r>
      <w:r>
        <w:rPr>
          <w:rFonts w:ascii="Times New Roman" w:hAnsi="Times New Roman" w:cs="Times New Roman"/>
          <w:lang w:val="en-GB"/>
        </w:rPr>
        <w:t>In the event of deals governed by ordinary administration, a simple majority of co-</w:t>
      </w:r>
      <w:proofErr w:type="gramStart"/>
      <w:r>
        <w:rPr>
          <w:rFonts w:ascii="Times New Roman" w:hAnsi="Times New Roman" w:cs="Times New Roman"/>
          <w:lang w:val="en-GB"/>
        </w:rPr>
        <w:t>owners’</w:t>
      </w:r>
      <w:proofErr w:type="gramEnd"/>
      <w:r>
        <w:rPr>
          <w:rFonts w:ascii="Times New Roman" w:hAnsi="Times New Roman" w:cs="Times New Roman"/>
          <w:lang w:val="en-GB"/>
        </w:rPr>
        <w:t xml:space="preserve"> votes is required</w:t>
      </w:r>
      <w:r w:rsidRPr="00600620">
        <w:rPr>
          <w:rFonts w:ascii="Times New Roman" w:hAnsi="Times New Roman" w:cs="Times New Roman"/>
          <w:lang w:val="en-GB"/>
        </w:rPr>
        <w:t xml:space="preserve">. </w:t>
      </w:r>
      <w:r>
        <w:rPr>
          <w:rFonts w:ascii="Times New Roman" w:hAnsi="Times New Roman" w:cs="Times New Roman"/>
          <w:lang w:val="en-GB"/>
        </w:rPr>
        <w:t>The majority of votes is based on fractional votes, not on the number of co-owners</w:t>
      </w:r>
      <w:r w:rsidRPr="00600620">
        <w:rPr>
          <w:rFonts w:ascii="Times New Roman" w:hAnsi="Times New Roman" w:cs="Times New Roman"/>
          <w:lang w:val="en-GB"/>
        </w:rPr>
        <w:t xml:space="preserve">. </w:t>
      </w:r>
      <w:r>
        <w:rPr>
          <w:rFonts w:ascii="Times New Roman" w:hAnsi="Times New Roman" w:cs="Times New Roman"/>
          <w:lang w:val="en-GB"/>
        </w:rPr>
        <w:t>If a majority of votes cannot be achieved and a deal is necessary for property maintenance, the competent court shall make a respective decision in non-contentious proceedings initiated by one of the co-owners</w:t>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40</w:t>
      </w:r>
      <w:r>
        <w:rPr>
          <w:rFonts w:ascii="Times New Roman" w:hAnsi="Times New Roman" w:cs="Times New Roman"/>
          <w:lang w:val="en-GB"/>
        </w:rPr>
        <w:t xml:space="preserve"> paragraphs </w:t>
      </w:r>
      <w:r w:rsidRPr="00600620">
        <w:rPr>
          <w:rFonts w:ascii="Times New Roman" w:hAnsi="Times New Roman" w:cs="Times New Roman"/>
          <w:lang w:val="en-GB"/>
        </w:rPr>
        <w:t>1-3</w:t>
      </w:r>
      <w:r>
        <w:rPr>
          <w:rFonts w:ascii="Times New Roman" w:hAnsi="Times New Roman" w:cs="Times New Roman"/>
          <w:lang w:val="en-GB"/>
        </w:rPr>
        <w:t xml:space="preserve"> of the AOOPR</w:t>
      </w:r>
      <w:r w:rsidRPr="00600620">
        <w:rPr>
          <w:rFonts w:ascii="Times New Roman" w:hAnsi="Times New Roman" w:cs="Times New Roman"/>
          <w:lang w:val="en-GB"/>
        </w:rPr>
        <w:t>.</w:t>
      </w:r>
    </w:p>
  </w:footnote>
  <w:footnote w:id="11">
    <w:p w14:paraId="026ECCBF" w14:textId="0ED11B9D" w:rsidR="00A364B0" w:rsidRPr="00600620" w:rsidRDefault="00A364B0" w:rsidP="00EE5EF6">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Articles</w:t>
      </w:r>
      <w:r w:rsidRPr="00600620">
        <w:rPr>
          <w:rFonts w:ascii="Times New Roman" w:hAnsi="Times New Roman" w:cs="Times New Roman"/>
          <w:lang w:val="en-GB"/>
        </w:rPr>
        <w:t xml:space="preserve"> 164</w:t>
      </w:r>
      <w:r>
        <w:rPr>
          <w:rFonts w:ascii="Times New Roman" w:hAnsi="Times New Roman" w:cs="Times New Roman"/>
          <w:lang w:val="en-GB"/>
        </w:rPr>
        <w:t xml:space="preserve"> and</w:t>
      </w:r>
      <w:r w:rsidRPr="00600620">
        <w:rPr>
          <w:rFonts w:ascii="Times New Roman" w:hAnsi="Times New Roman" w:cs="Times New Roman"/>
          <w:lang w:val="en-GB"/>
        </w:rPr>
        <w:t xml:space="preserve"> 165</w:t>
      </w:r>
      <w:r>
        <w:rPr>
          <w:rFonts w:ascii="Times New Roman" w:hAnsi="Times New Roman" w:cs="Times New Roman"/>
          <w:lang w:val="en-GB"/>
        </w:rPr>
        <w:t xml:space="preserve"> of the AOOPR define legal status of both a fair and unfair possessor</w:t>
      </w:r>
      <w:r w:rsidRPr="00600620">
        <w:rPr>
          <w:rFonts w:ascii="Times New Roman" w:hAnsi="Times New Roman" w:cs="Times New Roman"/>
          <w:lang w:val="en-GB"/>
        </w:rPr>
        <w:t xml:space="preserve">. </w:t>
      </w:r>
      <w:r>
        <w:rPr>
          <w:rFonts w:ascii="Times New Roman" w:hAnsi="Times New Roman" w:cs="Times New Roman"/>
          <w:lang w:val="en-GB"/>
        </w:rPr>
        <w:t>Namely, Article 164 of the AOOPR sets forth that a</w:t>
      </w:r>
      <w:r w:rsidRPr="00EE5EF6">
        <w:rPr>
          <w:rFonts w:ascii="Times New Roman" w:hAnsi="Times New Roman" w:cs="Times New Roman"/>
          <w:lang w:val="en-GB"/>
        </w:rPr>
        <w:t xml:space="preserve"> fair possessor of a</w:t>
      </w:r>
      <w:r>
        <w:rPr>
          <w:rFonts w:ascii="Times New Roman" w:hAnsi="Times New Roman" w:cs="Times New Roman"/>
          <w:lang w:val="en-GB"/>
        </w:rPr>
        <w:t>nother person’s</w:t>
      </w:r>
      <w:r w:rsidRPr="00EE5EF6">
        <w:rPr>
          <w:rFonts w:ascii="Times New Roman" w:hAnsi="Times New Roman" w:cs="Times New Roman"/>
          <w:lang w:val="en-GB"/>
        </w:rPr>
        <w:t xml:space="preserve"> thing</w:t>
      </w:r>
      <w:r>
        <w:rPr>
          <w:rFonts w:ascii="Times New Roman" w:hAnsi="Times New Roman" w:cs="Times New Roman"/>
          <w:lang w:val="en-GB"/>
        </w:rPr>
        <w:t xml:space="preserve"> (property)</w:t>
      </w:r>
      <w:r w:rsidRPr="00EE5EF6">
        <w:rPr>
          <w:rFonts w:ascii="Times New Roman" w:hAnsi="Times New Roman" w:cs="Times New Roman"/>
          <w:lang w:val="en-GB"/>
        </w:rPr>
        <w:t xml:space="preserve"> which he does not have the right to possess</w:t>
      </w:r>
      <w:r>
        <w:rPr>
          <w:rFonts w:ascii="Times New Roman" w:hAnsi="Times New Roman" w:cs="Times New Roman"/>
          <w:lang w:val="en-GB"/>
        </w:rPr>
        <w:t>, shall</w:t>
      </w:r>
      <w:r w:rsidRPr="00EE5EF6">
        <w:rPr>
          <w:rFonts w:ascii="Times New Roman" w:hAnsi="Times New Roman" w:cs="Times New Roman"/>
          <w:lang w:val="en-GB"/>
        </w:rPr>
        <w:t xml:space="preserve"> surrender such </w:t>
      </w:r>
      <w:r>
        <w:rPr>
          <w:rFonts w:ascii="Times New Roman" w:hAnsi="Times New Roman" w:cs="Times New Roman"/>
          <w:lang w:val="en-GB"/>
        </w:rPr>
        <w:t xml:space="preserve">a </w:t>
      </w:r>
      <w:r w:rsidRPr="00EE5EF6">
        <w:rPr>
          <w:rFonts w:ascii="Times New Roman" w:hAnsi="Times New Roman" w:cs="Times New Roman"/>
          <w:lang w:val="en-GB"/>
        </w:rPr>
        <w:t>thing to the owner or to the person designated by the owner; however, he</w:t>
      </w:r>
      <w:r>
        <w:rPr>
          <w:rFonts w:ascii="Times New Roman" w:hAnsi="Times New Roman" w:cs="Times New Roman"/>
          <w:lang w:val="en-GB"/>
        </w:rPr>
        <w:t>/she</w:t>
      </w:r>
      <w:r w:rsidRPr="00EE5EF6">
        <w:rPr>
          <w:rFonts w:ascii="Times New Roman" w:hAnsi="Times New Roman" w:cs="Times New Roman"/>
          <w:lang w:val="en-GB"/>
        </w:rPr>
        <w:t xml:space="preserve"> is</w:t>
      </w:r>
      <w:r>
        <w:rPr>
          <w:rFonts w:ascii="Times New Roman" w:hAnsi="Times New Roman" w:cs="Times New Roman"/>
          <w:lang w:val="en-GB"/>
        </w:rPr>
        <w:t xml:space="preserve"> </w:t>
      </w:r>
      <w:r w:rsidRPr="00EE5EF6">
        <w:rPr>
          <w:rFonts w:ascii="Times New Roman" w:hAnsi="Times New Roman" w:cs="Times New Roman"/>
          <w:lang w:val="en-GB"/>
        </w:rPr>
        <w:t>not bound to provide compensation for having used it or having benefited from it to the extent</w:t>
      </w:r>
      <w:r>
        <w:rPr>
          <w:rFonts w:ascii="Times New Roman" w:hAnsi="Times New Roman" w:cs="Times New Roman"/>
          <w:lang w:val="en-GB"/>
        </w:rPr>
        <w:t xml:space="preserve"> </w:t>
      </w:r>
      <w:r w:rsidRPr="00EE5EF6">
        <w:rPr>
          <w:rFonts w:ascii="Times New Roman" w:hAnsi="Times New Roman" w:cs="Times New Roman"/>
          <w:lang w:val="en-GB"/>
        </w:rPr>
        <w:t xml:space="preserve">appropriate in view of the right to possession he believed to have been entitled to, neither </w:t>
      </w:r>
      <w:r>
        <w:rPr>
          <w:rFonts w:ascii="Times New Roman" w:hAnsi="Times New Roman" w:cs="Times New Roman"/>
          <w:lang w:val="en-GB"/>
        </w:rPr>
        <w:t>shall</w:t>
      </w:r>
      <w:r w:rsidRPr="00EE5EF6">
        <w:rPr>
          <w:rFonts w:ascii="Times New Roman" w:hAnsi="Times New Roman" w:cs="Times New Roman"/>
          <w:lang w:val="en-GB"/>
        </w:rPr>
        <w:t xml:space="preserve"> he provide compensation for anything damaged or destroyed</w:t>
      </w:r>
      <w:r w:rsidRPr="00600620">
        <w:rPr>
          <w:rFonts w:ascii="Times New Roman" w:hAnsi="Times New Roman" w:cs="Times New Roman"/>
          <w:lang w:val="en-GB"/>
        </w:rPr>
        <w:t xml:space="preserve">. </w:t>
      </w:r>
      <w:r>
        <w:rPr>
          <w:rFonts w:ascii="Times New Roman" w:hAnsi="Times New Roman" w:cs="Times New Roman"/>
          <w:lang w:val="en-GB"/>
        </w:rPr>
        <w:t>On the other hand,</w:t>
      </w:r>
      <w:r>
        <w:t xml:space="preserve"> </w:t>
      </w:r>
      <w:r>
        <w:rPr>
          <w:rFonts w:ascii="Times New Roman" w:hAnsi="Times New Roman" w:cs="Times New Roman"/>
          <w:lang w:val="en-GB"/>
        </w:rPr>
        <w:t>an un</w:t>
      </w:r>
      <w:r w:rsidRPr="00EE5EF6">
        <w:rPr>
          <w:rFonts w:ascii="Times New Roman" w:hAnsi="Times New Roman" w:cs="Times New Roman"/>
          <w:lang w:val="en-GB"/>
        </w:rPr>
        <w:t>fair possessor of a</w:t>
      </w:r>
      <w:r>
        <w:rPr>
          <w:rFonts w:ascii="Times New Roman" w:hAnsi="Times New Roman" w:cs="Times New Roman"/>
          <w:lang w:val="en-GB"/>
        </w:rPr>
        <w:t>nother person’s</w:t>
      </w:r>
      <w:r w:rsidRPr="00EE5EF6">
        <w:rPr>
          <w:rFonts w:ascii="Times New Roman" w:hAnsi="Times New Roman" w:cs="Times New Roman"/>
          <w:lang w:val="en-GB"/>
        </w:rPr>
        <w:t xml:space="preserve"> thing</w:t>
      </w:r>
      <w:r>
        <w:rPr>
          <w:rFonts w:ascii="Times New Roman" w:hAnsi="Times New Roman" w:cs="Times New Roman"/>
          <w:lang w:val="en-GB"/>
        </w:rPr>
        <w:t xml:space="preserve"> (property)</w:t>
      </w:r>
      <w:r w:rsidRPr="00EE5EF6">
        <w:rPr>
          <w:rFonts w:ascii="Times New Roman" w:hAnsi="Times New Roman" w:cs="Times New Roman"/>
          <w:lang w:val="en-GB"/>
        </w:rPr>
        <w:t xml:space="preserve"> </w:t>
      </w:r>
      <w:r>
        <w:rPr>
          <w:rFonts w:ascii="Times New Roman" w:hAnsi="Times New Roman" w:cs="Times New Roman"/>
          <w:lang w:val="en-GB"/>
        </w:rPr>
        <w:t xml:space="preserve">shall </w:t>
      </w:r>
      <w:r w:rsidRPr="00EE5EF6">
        <w:rPr>
          <w:rFonts w:ascii="Times New Roman" w:hAnsi="Times New Roman" w:cs="Times New Roman"/>
          <w:lang w:val="en-GB"/>
        </w:rPr>
        <w:t xml:space="preserve">surrender such </w:t>
      </w:r>
      <w:r>
        <w:rPr>
          <w:rFonts w:ascii="Times New Roman" w:hAnsi="Times New Roman" w:cs="Times New Roman"/>
          <w:lang w:val="en-GB"/>
        </w:rPr>
        <w:t xml:space="preserve">a </w:t>
      </w:r>
      <w:r w:rsidRPr="00EE5EF6">
        <w:rPr>
          <w:rFonts w:ascii="Times New Roman" w:hAnsi="Times New Roman" w:cs="Times New Roman"/>
          <w:lang w:val="en-GB"/>
        </w:rPr>
        <w:t>thing to the owner</w:t>
      </w:r>
      <w:r>
        <w:rPr>
          <w:rFonts w:ascii="Times New Roman" w:hAnsi="Times New Roman" w:cs="Times New Roman"/>
          <w:lang w:val="en-GB"/>
        </w:rPr>
        <w:t xml:space="preserve"> </w:t>
      </w:r>
      <w:r w:rsidRPr="00EE5EF6">
        <w:rPr>
          <w:rFonts w:ascii="Times New Roman" w:hAnsi="Times New Roman" w:cs="Times New Roman"/>
          <w:lang w:val="en-GB"/>
        </w:rPr>
        <w:t xml:space="preserve">or to the person designated by the owner and compensate </w:t>
      </w:r>
      <w:r>
        <w:rPr>
          <w:rFonts w:ascii="Times New Roman" w:hAnsi="Times New Roman" w:cs="Times New Roman"/>
          <w:lang w:val="en-GB"/>
        </w:rPr>
        <w:t xml:space="preserve">for </w:t>
      </w:r>
      <w:r w:rsidRPr="00EE5EF6">
        <w:rPr>
          <w:rFonts w:ascii="Times New Roman" w:hAnsi="Times New Roman" w:cs="Times New Roman"/>
          <w:lang w:val="en-GB"/>
        </w:rPr>
        <w:t>all damages on the thing and all</w:t>
      </w:r>
      <w:r>
        <w:rPr>
          <w:rFonts w:ascii="Times New Roman" w:hAnsi="Times New Roman" w:cs="Times New Roman"/>
          <w:lang w:val="en-GB"/>
        </w:rPr>
        <w:t xml:space="preserve"> </w:t>
      </w:r>
      <w:r w:rsidRPr="00EE5EF6">
        <w:rPr>
          <w:rFonts w:ascii="Times New Roman" w:hAnsi="Times New Roman" w:cs="Times New Roman"/>
          <w:lang w:val="en-GB"/>
        </w:rPr>
        <w:t>benefits he</w:t>
      </w:r>
      <w:r>
        <w:rPr>
          <w:rFonts w:ascii="Times New Roman" w:hAnsi="Times New Roman" w:cs="Times New Roman"/>
          <w:lang w:val="en-GB"/>
        </w:rPr>
        <w:t>/she</w:t>
      </w:r>
      <w:r w:rsidRPr="00EE5EF6">
        <w:rPr>
          <w:rFonts w:ascii="Times New Roman" w:hAnsi="Times New Roman" w:cs="Times New Roman"/>
          <w:lang w:val="en-GB"/>
        </w:rPr>
        <w:t xml:space="preserve"> enjoyed for the duration of his</w:t>
      </w:r>
      <w:r>
        <w:rPr>
          <w:rFonts w:ascii="Times New Roman" w:hAnsi="Times New Roman" w:cs="Times New Roman"/>
          <w:lang w:val="en-GB"/>
        </w:rPr>
        <w:t>/her</w:t>
      </w:r>
      <w:r w:rsidRPr="00EE5EF6">
        <w:rPr>
          <w:rFonts w:ascii="Times New Roman" w:hAnsi="Times New Roman" w:cs="Times New Roman"/>
          <w:lang w:val="en-GB"/>
        </w:rPr>
        <w:t xml:space="preserve"> possession, including those that the thing would have</w:t>
      </w:r>
      <w:r>
        <w:rPr>
          <w:rFonts w:ascii="Times New Roman" w:hAnsi="Times New Roman" w:cs="Times New Roman"/>
          <w:lang w:val="en-GB"/>
        </w:rPr>
        <w:t xml:space="preserve"> </w:t>
      </w:r>
      <w:r w:rsidRPr="00EE5EF6">
        <w:rPr>
          <w:rFonts w:ascii="Times New Roman" w:hAnsi="Times New Roman" w:cs="Times New Roman"/>
          <w:lang w:val="en-GB"/>
        </w:rPr>
        <w:t>yielded had he not neglected them</w:t>
      </w:r>
      <w:r w:rsidRPr="00600620">
        <w:rPr>
          <w:rFonts w:ascii="Times New Roman" w:hAnsi="Times New Roman" w:cs="Times New Roman"/>
          <w:lang w:val="en-GB"/>
        </w:rPr>
        <w:t xml:space="preserve">. </w:t>
      </w:r>
      <w:r w:rsidRPr="00EE5EF6">
        <w:rPr>
          <w:rFonts w:ascii="Times New Roman" w:hAnsi="Times New Roman" w:cs="Times New Roman"/>
          <w:lang w:val="en-GB"/>
        </w:rPr>
        <w:t xml:space="preserve">As of the moment </w:t>
      </w:r>
      <w:r>
        <w:rPr>
          <w:rFonts w:ascii="Times New Roman" w:hAnsi="Times New Roman" w:cs="Times New Roman"/>
          <w:lang w:val="en-GB"/>
        </w:rPr>
        <w:t>a</w:t>
      </w:r>
      <w:r w:rsidRPr="00EE5EF6">
        <w:rPr>
          <w:rFonts w:ascii="Times New Roman" w:hAnsi="Times New Roman" w:cs="Times New Roman"/>
          <w:lang w:val="en-GB"/>
        </w:rPr>
        <w:t xml:space="preserve"> fair possessor becomes unfair, his</w:t>
      </w:r>
      <w:r>
        <w:rPr>
          <w:rFonts w:ascii="Times New Roman" w:hAnsi="Times New Roman" w:cs="Times New Roman"/>
          <w:lang w:val="en-GB"/>
        </w:rPr>
        <w:t>/her</w:t>
      </w:r>
      <w:r w:rsidRPr="00EE5EF6">
        <w:rPr>
          <w:rFonts w:ascii="Times New Roman" w:hAnsi="Times New Roman" w:cs="Times New Roman"/>
          <w:lang w:val="en-GB"/>
        </w:rPr>
        <w:t xml:space="preserve"> rights and obligations are governed</w:t>
      </w:r>
      <w:r>
        <w:rPr>
          <w:rFonts w:ascii="Times New Roman" w:hAnsi="Times New Roman" w:cs="Times New Roman"/>
          <w:lang w:val="en-GB"/>
        </w:rPr>
        <w:t xml:space="preserve"> </w:t>
      </w:r>
      <w:r w:rsidRPr="00EE5EF6">
        <w:rPr>
          <w:rFonts w:ascii="Times New Roman" w:hAnsi="Times New Roman" w:cs="Times New Roman"/>
          <w:lang w:val="en-GB"/>
        </w:rPr>
        <w:t>according to the rules laid down for an unfair possessor</w:t>
      </w:r>
      <w:r w:rsidRPr="00600620">
        <w:rPr>
          <w:rFonts w:ascii="Times New Roman" w:hAnsi="Times New Roman" w:cs="Times New Roman"/>
          <w:lang w:val="en-GB"/>
        </w:rPr>
        <w:t>;</w:t>
      </w:r>
      <w:r w:rsidRPr="00EE5EF6">
        <w:rPr>
          <w:rFonts w:ascii="Times New Roman" w:hAnsi="Times New Roman" w:cs="Times New Roman"/>
          <w:lang w:val="en-GB"/>
        </w:rPr>
        <w:t xml:space="preserve"> they are also governed according to the</w:t>
      </w:r>
      <w:r>
        <w:rPr>
          <w:rFonts w:ascii="Times New Roman" w:hAnsi="Times New Roman" w:cs="Times New Roman"/>
          <w:lang w:val="en-GB"/>
        </w:rPr>
        <w:t xml:space="preserve"> </w:t>
      </w:r>
      <w:r w:rsidRPr="00EE5EF6">
        <w:rPr>
          <w:rFonts w:ascii="Times New Roman" w:hAnsi="Times New Roman" w:cs="Times New Roman"/>
          <w:lang w:val="en-GB"/>
        </w:rPr>
        <w:t>same rules with respect to what the fair possessor did with the thing that was inappropriate in</w:t>
      </w:r>
      <w:r>
        <w:rPr>
          <w:rFonts w:ascii="Times New Roman" w:hAnsi="Times New Roman" w:cs="Times New Roman"/>
          <w:lang w:val="en-GB"/>
        </w:rPr>
        <w:t xml:space="preserve"> </w:t>
      </w:r>
      <w:r w:rsidRPr="00EE5EF6">
        <w:rPr>
          <w:rFonts w:ascii="Times New Roman" w:hAnsi="Times New Roman" w:cs="Times New Roman"/>
          <w:lang w:val="en-GB"/>
        </w:rPr>
        <w:t>view of the right to possession he believed to be entitled to</w:t>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165</w:t>
      </w:r>
      <w:r>
        <w:rPr>
          <w:rFonts w:ascii="Times New Roman" w:hAnsi="Times New Roman" w:cs="Times New Roman"/>
          <w:lang w:val="en-GB"/>
        </w:rPr>
        <w:t xml:space="preserve"> paragraphs</w:t>
      </w:r>
      <w:r w:rsidRPr="00600620">
        <w:rPr>
          <w:rFonts w:ascii="Times New Roman" w:hAnsi="Times New Roman" w:cs="Times New Roman"/>
          <w:lang w:val="en-GB"/>
        </w:rPr>
        <w:t xml:space="preserve"> 1</w:t>
      </w:r>
      <w:r>
        <w:rPr>
          <w:rFonts w:ascii="Times New Roman" w:hAnsi="Times New Roman" w:cs="Times New Roman"/>
          <w:lang w:val="en-GB"/>
        </w:rPr>
        <w:t xml:space="preserve"> and</w:t>
      </w:r>
      <w:r w:rsidRPr="00600620">
        <w:rPr>
          <w:rFonts w:ascii="Times New Roman" w:hAnsi="Times New Roman" w:cs="Times New Roman"/>
          <w:lang w:val="en-GB"/>
        </w:rPr>
        <w:t xml:space="preserve"> 6</w:t>
      </w:r>
      <w:r>
        <w:rPr>
          <w:rFonts w:ascii="Times New Roman" w:hAnsi="Times New Roman" w:cs="Times New Roman"/>
          <w:lang w:val="en-GB"/>
        </w:rPr>
        <w:t xml:space="preserve"> of the AOOPR</w:t>
      </w:r>
      <w:r w:rsidRPr="00600620">
        <w:rPr>
          <w:rFonts w:ascii="Times New Roman" w:hAnsi="Times New Roman" w:cs="Times New Roman"/>
          <w:lang w:val="en-GB"/>
        </w:rPr>
        <w:t>.</w:t>
      </w:r>
    </w:p>
  </w:footnote>
  <w:footnote w:id="12">
    <w:p w14:paraId="78200591" w14:textId="25302733" w:rsidR="00A364B0" w:rsidRPr="00600620" w:rsidRDefault="00A364B0" w:rsidP="009A6379">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Vrhovni sud Republike Hrvatske/Pravna shvacanja-gradjanski-odjel. </w:t>
      </w:r>
      <w:r>
        <w:rPr>
          <w:rFonts w:ascii="Times New Roman" w:hAnsi="Times New Roman" w:cs="Times New Roman"/>
          <w:lang w:val="en-GB"/>
        </w:rPr>
        <w:t>Downloaded from</w:t>
      </w:r>
    </w:p>
    <w:p w14:paraId="7F828DBF" w14:textId="16CFD68F" w:rsidR="00A364B0" w:rsidRPr="00600620" w:rsidRDefault="00A364B0" w:rsidP="009A6379">
      <w:pPr>
        <w:pStyle w:val="FootnoteText"/>
        <w:jc w:val="both"/>
        <w:rPr>
          <w:rFonts w:ascii="Times New Roman" w:hAnsi="Times New Roman" w:cs="Times New Roman"/>
          <w:lang w:val="en-GB"/>
        </w:rPr>
      </w:pPr>
      <w:r w:rsidRPr="00600620">
        <w:rPr>
          <w:rFonts w:ascii="Times New Roman" w:hAnsi="Times New Roman" w:cs="Times New Roman"/>
          <w:lang w:val="en-GB"/>
        </w:rPr>
        <w:t xml:space="preserve"> </w:t>
      </w:r>
      <w:hyperlink r:id="rId1" w:history="1">
        <w:r w:rsidRPr="00600620">
          <w:rPr>
            <w:rStyle w:val="Hyperlink"/>
            <w:rFonts w:ascii="Times New Roman" w:hAnsi="Times New Roman" w:cs="Times New Roman"/>
            <w:i/>
            <w:lang w:val="en-GB"/>
          </w:rPr>
          <w:t>https://www.vsrh.hr/custompages/static/HRV/files/2021dok/Pravna%20shva%C4%87anja_GO/VSRH_GO_Su-IV-16-2021-5.pdf</w:t>
        </w:r>
      </w:hyperlink>
    </w:p>
  </w:footnote>
  <w:footnote w:id="13">
    <w:p w14:paraId="1975A4DA" w14:textId="44D851B4" w:rsidR="00A364B0" w:rsidRPr="00600620" w:rsidRDefault="00A364B0" w:rsidP="00413A44">
      <w:pPr>
        <w:pStyle w:val="FootnoteText"/>
        <w:jc w:val="both"/>
        <w:rPr>
          <w:lang w:val="en-GB"/>
        </w:rPr>
      </w:pPr>
      <w:r w:rsidRPr="00600620">
        <w:rPr>
          <w:rStyle w:val="FootnoteReference"/>
          <w:rFonts w:ascii="Times New Roman" w:hAnsi="Times New Roman" w:cs="Times New Roman"/>
          <w:lang w:val="en-GB"/>
        </w:rPr>
        <w:footnoteRef/>
      </w:r>
      <w:r>
        <w:rPr>
          <w:rFonts w:ascii="Times New Roman" w:hAnsi="Times New Roman" w:cs="Times New Roman"/>
          <w:lang w:val="en-GB"/>
        </w:rPr>
        <w:t xml:space="preserve"> Municipal Court in </w:t>
      </w:r>
      <w:r w:rsidRPr="00600620">
        <w:rPr>
          <w:rFonts w:ascii="Times New Roman" w:hAnsi="Times New Roman" w:cs="Times New Roman"/>
          <w:lang w:val="en-GB"/>
        </w:rPr>
        <w:t>Osijek</w:t>
      </w:r>
      <w:r>
        <w:rPr>
          <w:rFonts w:ascii="Times New Roman" w:hAnsi="Times New Roman" w:cs="Times New Roman"/>
          <w:lang w:val="en-GB"/>
        </w:rPr>
        <w:t xml:space="preserve"> (sitting in Beli Manastir)</w:t>
      </w:r>
      <w:r w:rsidRPr="00600620">
        <w:rPr>
          <w:rFonts w:ascii="Times New Roman" w:hAnsi="Times New Roman" w:cs="Times New Roman"/>
          <w:lang w:val="en-GB"/>
        </w:rPr>
        <w:t>, P-553/2019-26 o</w:t>
      </w:r>
      <w:r>
        <w:rPr>
          <w:rFonts w:ascii="Times New Roman" w:hAnsi="Times New Roman" w:cs="Times New Roman"/>
          <w:lang w:val="en-GB"/>
        </w:rPr>
        <w:t>f</w:t>
      </w:r>
      <w:r w:rsidRPr="00600620">
        <w:rPr>
          <w:rFonts w:ascii="Times New Roman" w:hAnsi="Times New Roman" w:cs="Times New Roman"/>
          <w:lang w:val="en-GB"/>
        </w:rPr>
        <w:t xml:space="preserve"> 19</w:t>
      </w:r>
      <w:r>
        <w:rPr>
          <w:rFonts w:ascii="Times New Roman" w:hAnsi="Times New Roman" w:cs="Times New Roman"/>
          <w:lang w:val="en-GB"/>
        </w:rPr>
        <w:t xml:space="preserve"> March</w:t>
      </w:r>
      <w:r w:rsidRPr="00600620">
        <w:rPr>
          <w:rFonts w:ascii="Times New Roman" w:hAnsi="Times New Roman" w:cs="Times New Roman"/>
          <w:lang w:val="en-GB"/>
        </w:rPr>
        <w:t xml:space="preserve"> 2021.</w:t>
      </w:r>
    </w:p>
  </w:footnote>
  <w:footnote w:id="14">
    <w:p w14:paraId="0019A6FF" w14:textId="7AA4568E" w:rsidR="00A364B0" w:rsidRPr="00600620" w:rsidRDefault="00A364B0" w:rsidP="00BE4704">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 legal standard is an indefinite concept, the content of which varies depending on a case while retaining its essence</w:t>
      </w:r>
      <w:r w:rsidRPr="00600620">
        <w:rPr>
          <w:rFonts w:ascii="Times New Roman" w:hAnsi="Times New Roman" w:cs="Times New Roman"/>
          <w:lang w:val="en-GB"/>
        </w:rPr>
        <w:t>.</w:t>
      </w:r>
      <w:r>
        <w:rPr>
          <w:rFonts w:ascii="Times New Roman" w:hAnsi="Times New Roman" w:cs="Times New Roman"/>
          <w:lang w:val="en-GB"/>
        </w:rPr>
        <w:t xml:space="preserve"> The substance of a legal standard relies on its addressee (court) and the generally accepted rules of the environment in which the addressee acts</w:t>
      </w:r>
      <w:r w:rsidRPr="00600620">
        <w:rPr>
          <w:rFonts w:ascii="Times New Roman" w:hAnsi="Times New Roman" w:cs="Times New Roman"/>
          <w:lang w:val="en-GB"/>
        </w:rPr>
        <w:t xml:space="preserve">. </w:t>
      </w:r>
      <w:r>
        <w:rPr>
          <w:rFonts w:ascii="Times New Roman" w:hAnsi="Times New Roman" w:cs="Times New Roman"/>
          <w:lang w:val="en-GB"/>
        </w:rPr>
        <w:t xml:space="preserve">When applying legal standards, one needs to take account of objective criteria and the objective of a standard, which implies that one must not act arbitrarily but identify the action that best reflects the substance of the standard in a concrete case </w:t>
      </w:r>
      <w:r w:rsidRPr="00600620">
        <w:rPr>
          <w:rFonts w:ascii="Times New Roman" w:hAnsi="Times New Roman" w:cs="Times New Roman"/>
          <w:lang w:val="en-GB"/>
        </w:rPr>
        <w:t xml:space="preserve">(Vidaković Mukić, 2006 p. 857).  </w:t>
      </w:r>
    </w:p>
  </w:footnote>
  <w:footnote w:id="15">
    <w:p w14:paraId="6C1CDAEF" w14:textId="17DD9493" w:rsidR="00A364B0" w:rsidRPr="00600620" w:rsidRDefault="00A364B0" w:rsidP="007F2DDF">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County Court in</w:t>
      </w:r>
      <w:r w:rsidRPr="00600620">
        <w:rPr>
          <w:rFonts w:ascii="Times New Roman" w:hAnsi="Times New Roman" w:cs="Times New Roman"/>
          <w:lang w:val="en-GB"/>
        </w:rPr>
        <w:t xml:space="preserve"> Varaždin, Gž-581/2021-2 o</w:t>
      </w:r>
      <w:r>
        <w:rPr>
          <w:rFonts w:ascii="Times New Roman" w:hAnsi="Times New Roman" w:cs="Times New Roman"/>
          <w:lang w:val="en-GB"/>
        </w:rPr>
        <w:t>f</w:t>
      </w:r>
      <w:r w:rsidRPr="00600620">
        <w:rPr>
          <w:rFonts w:ascii="Times New Roman" w:hAnsi="Times New Roman" w:cs="Times New Roman"/>
          <w:lang w:val="en-GB"/>
        </w:rPr>
        <w:t xml:space="preserve"> 22</w:t>
      </w:r>
      <w:r>
        <w:rPr>
          <w:rFonts w:ascii="Times New Roman" w:hAnsi="Times New Roman" w:cs="Times New Roman"/>
          <w:lang w:val="en-GB"/>
        </w:rPr>
        <w:t xml:space="preserve"> September</w:t>
      </w:r>
      <w:r w:rsidRPr="00600620">
        <w:rPr>
          <w:rFonts w:ascii="Times New Roman" w:hAnsi="Times New Roman" w:cs="Times New Roman"/>
          <w:lang w:val="en-GB"/>
        </w:rPr>
        <w:t xml:space="preserve"> 2021.</w:t>
      </w:r>
    </w:p>
  </w:footnote>
  <w:footnote w:id="16">
    <w:p w14:paraId="53FB304E" w14:textId="45EB5C8C" w:rsidR="00A364B0" w:rsidRPr="00600620" w:rsidRDefault="00A364B0" w:rsidP="008568DC">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Unjust enrichment refers to a relationship regulated by the law of obligations, in which the acquirer is bound to return or compensate for the value of the part of the property or proceed obtained without a legal ground or based on a ground which was later suspended or did not come into existence</w:t>
      </w:r>
      <w:r w:rsidRPr="00600620">
        <w:rPr>
          <w:rFonts w:ascii="Times New Roman" w:hAnsi="Times New Roman" w:cs="Times New Roman"/>
          <w:lang w:val="en-GB"/>
        </w:rPr>
        <w:t xml:space="preserve">. </w:t>
      </w:r>
      <w:r>
        <w:rPr>
          <w:rFonts w:ascii="Times New Roman" w:hAnsi="Times New Roman" w:cs="Times New Roman"/>
          <w:lang w:val="en-GB"/>
        </w:rPr>
        <w:t>Enrichment without or past legal grounds is considered unjust</w:t>
      </w:r>
      <w:r w:rsidRPr="00600620">
        <w:rPr>
          <w:rFonts w:ascii="Times New Roman" w:hAnsi="Times New Roman" w:cs="Times New Roman"/>
          <w:lang w:val="en-GB"/>
        </w:rPr>
        <w:t xml:space="preserve">. </w:t>
      </w:r>
      <w:r>
        <w:rPr>
          <w:rFonts w:ascii="Times New Roman" w:hAnsi="Times New Roman" w:cs="Times New Roman"/>
          <w:lang w:val="en-GB"/>
        </w:rPr>
        <w:t>A person whose assets have increased without a proper ground is said to have become rich unjustly</w:t>
      </w:r>
      <w:r w:rsidRPr="00600620">
        <w:rPr>
          <w:rFonts w:ascii="Times New Roman" w:hAnsi="Times New Roman" w:cs="Times New Roman"/>
          <w:lang w:val="en-GB"/>
        </w:rPr>
        <w:t>.</w:t>
      </w:r>
      <w:r>
        <w:rPr>
          <w:rFonts w:ascii="Times New Roman" w:hAnsi="Times New Roman" w:cs="Times New Roman"/>
          <w:lang w:val="en-GB"/>
        </w:rPr>
        <w:t xml:space="preserve"> Unjust enrichment is in principle connected with other people’s unjust asset decrease</w:t>
      </w:r>
      <w:r w:rsidRPr="00600620">
        <w:rPr>
          <w:rFonts w:ascii="Times New Roman" w:hAnsi="Times New Roman" w:cs="Times New Roman"/>
          <w:lang w:val="en-GB"/>
        </w:rPr>
        <w:t xml:space="preserve">. </w:t>
      </w:r>
      <w:r>
        <w:rPr>
          <w:rFonts w:ascii="Times New Roman" w:hAnsi="Times New Roman" w:cs="Times New Roman"/>
          <w:lang w:val="en-GB"/>
        </w:rPr>
        <w:t>Transfer of property (things) and other benefits without a legal ground supporting it shall be neutralized</w:t>
      </w:r>
      <w:r w:rsidRPr="00600620">
        <w:rPr>
          <w:rFonts w:ascii="Times New Roman" w:hAnsi="Times New Roman" w:cs="Times New Roman"/>
          <w:lang w:val="en-GB"/>
        </w:rPr>
        <w:t xml:space="preserve">. </w:t>
      </w:r>
      <w:r>
        <w:rPr>
          <w:rFonts w:ascii="Times New Roman" w:hAnsi="Times New Roman" w:cs="Times New Roman"/>
          <w:lang w:val="en-GB"/>
        </w:rPr>
        <w:t>Although it does not always have to come to enrichment in this context, there must be a change in someone’s assets</w:t>
      </w:r>
      <w:r w:rsidRPr="00600620">
        <w:rPr>
          <w:rFonts w:ascii="Times New Roman" w:hAnsi="Times New Roman" w:cs="Times New Roman"/>
          <w:lang w:val="en-GB"/>
        </w:rPr>
        <w:t xml:space="preserve">. </w:t>
      </w:r>
      <w:r>
        <w:rPr>
          <w:rFonts w:ascii="Times New Roman" w:hAnsi="Times New Roman" w:cs="Times New Roman"/>
          <w:lang w:val="en-GB"/>
        </w:rPr>
        <w:t>The respondent’s property (assets) has been provided with a right that has been transferred from the claimant’s property (assets)</w:t>
      </w:r>
      <w:r w:rsidRPr="00600620">
        <w:rPr>
          <w:rFonts w:ascii="Times New Roman" w:hAnsi="Times New Roman" w:cs="Times New Roman"/>
          <w:lang w:val="en-GB"/>
        </w:rPr>
        <w:t xml:space="preserve">. </w:t>
      </w:r>
      <w:r>
        <w:rPr>
          <w:rFonts w:ascii="Times New Roman" w:hAnsi="Times New Roman" w:cs="Times New Roman"/>
          <w:lang w:val="en-GB"/>
        </w:rPr>
        <w:t>Unjust enrichment is always related to a change in someone’s assets. Of course, if such a change is not supported with a proper ground</w:t>
      </w:r>
      <w:r w:rsidRPr="00600620">
        <w:rPr>
          <w:rFonts w:ascii="Times New Roman" w:hAnsi="Times New Roman" w:cs="Times New Roman"/>
          <w:lang w:val="en-GB"/>
        </w:rPr>
        <w:t>. (Klarić, Vedriš, 2006 p. 644).</w:t>
      </w:r>
    </w:p>
  </w:footnote>
  <w:footnote w:id="17">
    <w:p w14:paraId="5C11CAA9" w14:textId="0BD03B5B" w:rsidR="00A364B0" w:rsidRPr="00600620" w:rsidRDefault="00A364B0" w:rsidP="00A070C0">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Pr="00A070C0">
        <w:rPr>
          <w:rFonts w:ascii="Times New Roman" w:hAnsi="Times New Roman" w:cs="Times New Roman"/>
          <w:lang w:val="en-GB"/>
        </w:rPr>
        <w:t>Where a portion of assets of a person is transferred in any manner to the assets of another person and such a transfer is not based on a legal transaction, decision of a court or another competent authority or law, the acquirer shall return that portion of assets, or if this is not possible, compensate for the value of the benefit conferred.</w:t>
      </w:r>
      <w:r>
        <w:rPr>
          <w:rFonts w:ascii="Times New Roman" w:hAnsi="Times New Roman" w:cs="Times New Roman"/>
          <w:lang w:val="en-GB"/>
        </w:rPr>
        <w:t xml:space="preserve"> </w:t>
      </w:r>
      <w:r w:rsidRPr="00A070C0">
        <w:rPr>
          <w:rFonts w:ascii="Times New Roman" w:hAnsi="Times New Roman" w:cs="Times New Roman"/>
          <w:lang w:val="en-GB"/>
        </w:rPr>
        <w:t>Transfer of assets shall also imply benefit conferred by the performed act.</w:t>
      </w:r>
      <w:r>
        <w:rPr>
          <w:rFonts w:ascii="Times New Roman" w:hAnsi="Times New Roman" w:cs="Times New Roman"/>
          <w:lang w:val="en-GB"/>
        </w:rPr>
        <w:t xml:space="preserve"> </w:t>
      </w:r>
      <w:r w:rsidRPr="00A070C0">
        <w:rPr>
          <w:rFonts w:ascii="Times New Roman" w:hAnsi="Times New Roman" w:cs="Times New Roman"/>
          <w:lang w:val="en-GB"/>
        </w:rPr>
        <w:t>The liability to return or compensate for the value shall occur when something is received on the basis which has not been realised or which has subsequently been suspended</w:t>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1111 </w:t>
      </w:r>
      <w:r>
        <w:rPr>
          <w:rFonts w:ascii="Times New Roman" w:hAnsi="Times New Roman" w:cs="Times New Roman"/>
          <w:lang w:val="en-GB"/>
        </w:rPr>
        <w:t>paragraphs</w:t>
      </w:r>
      <w:r w:rsidRPr="00600620">
        <w:rPr>
          <w:rFonts w:ascii="Times New Roman" w:hAnsi="Times New Roman" w:cs="Times New Roman"/>
          <w:lang w:val="en-GB"/>
        </w:rPr>
        <w:t xml:space="preserve"> 1-3</w:t>
      </w:r>
      <w:r>
        <w:rPr>
          <w:rFonts w:ascii="Times New Roman" w:hAnsi="Times New Roman" w:cs="Times New Roman"/>
          <w:lang w:val="en-GB"/>
        </w:rPr>
        <w:t xml:space="preserve"> of the Civil Obligations Act</w:t>
      </w:r>
      <w:r w:rsidRPr="00600620">
        <w:rPr>
          <w:rFonts w:ascii="Times New Roman" w:hAnsi="Times New Roman" w:cs="Times New Roman"/>
          <w:lang w:val="en-GB"/>
        </w:rPr>
        <w:t xml:space="preserve">, </w:t>
      </w:r>
      <w:r>
        <w:rPr>
          <w:rFonts w:ascii="Times New Roman" w:hAnsi="Times New Roman" w:cs="Times New Roman"/>
          <w:lang w:val="en-GB"/>
        </w:rPr>
        <w:t>Official Gazette no</w:t>
      </w:r>
      <w:r w:rsidRPr="00600620">
        <w:rPr>
          <w:rFonts w:ascii="Times New Roman" w:hAnsi="Times New Roman" w:cs="Times New Roman"/>
          <w:lang w:val="en-GB"/>
        </w:rPr>
        <w:t xml:space="preserve">. 35/05, 41/08, 125/11, 78/15, 29/18, 126/21,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C</w:t>
      </w:r>
      <w:r w:rsidRPr="00600620">
        <w:rPr>
          <w:rFonts w:ascii="Times New Roman" w:hAnsi="Times New Roman" w:cs="Times New Roman"/>
          <w:lang w:val="en-GB"/>
        </w:rPr>
        <w:t>O</w:t>
      </w:r>
      <w:r>
        <w:rPr>
          <w:rFonts w:ascii="Times New Roman" w:hAnsi="Times New Roman" w:cs="Times New Roman"/>
          <w:lang w:val="en-GB"/>
        </w:rPr>
        <w:t>A</w:t>
      </w:r>
      <w:r w:rsidRPr="00600620">
        <w:rPr>
          <w:rFonts w:ascii="Times New Roman" w:hAnsi="Times New Roman" w:cs="Times New Roman"/>
          <w:lang w:val="en-GB"/>
        </w:rPr>
        <w:t>.</w:t>
      </w:r>
    </w:p>
  </w:footnote>
  <w:footnote w:id="18">
    <w:p w14:paraId="03C37F6D" w14:textId="23189207" w:rsidR="00A364B0" w:rsidRPr="00600620" w:rsidRDefault="00A364B0" w:rsidP="00BE3CC1">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bookmarkStart w:id="12" w:name="_Hlk120549216"/>
      <w:r>
        <w:rPr>
          <w:rFonts w:ascii="Times New Roman" w:hAnsi="Times New Roman" w:cs="Times New Roman"/>
          <w:lang w:val="en-GB"/>
        </w:rPr>
        <w:t>Supreme Court of the Republic of Croatia</w:t>
      </w:r>
      <w:r w:rsidRPr="00600620">
        <w:rPr>
          <w:rFonts w:ascii="Times New Roman" w:hAnsi="Times New Roman" w:cs="Times New Roman"/>
          <w:lang w:val="en-GB"/>
        </w:rPr>
        <w:t>, Rev-2705/12-2 o</w:t>
      </w:r>
      <w:r>
        <w:rPr>
          <w:rFonts w:ascii="Times New Roman" w:hAnsi="Times New Roman" w:cs="Times New Roman"/>
          <w:lang w:val="en-GB"/>
        </w:rPr>
        <w:t>f</w:t>
      </w:r>
      <w:r w:rsidRPr="00600620">
        <w:rPr>
          <w:rFonts w:ascii="Times New Roman" w:hAnsi="Times New Roman" w:cs="Times New Roman"/>
          <w:lang w:val="en-GB"/>
        </w:rPr>
        <w:t xml:space="preserve"> 3</w:t>
      </w:r>
      <w:r>
        <w:rPr>
          <w:rFonts w:ascii="Times New Roman" w:hAnsi="Times New Roman" w:cs="Times New Roman"/>
          <w:lang w:val="en-GB"/>
        </w:rPr>
        <w:t xml:space="preserve"> November</w:t>
      </w:r>
      <w:r w:rsidRPr="00600620">
        <w:rPr>
          <w:rFonts w:ascii="Times New Roman" w:hAnsi="Times New Roman" w:cs="Times New Roman"/>
          <w:lang w:val="en-GB"/>
        </w:rPr>
        <w:t xml:space="preserve"> 2016.</w:t>
      </w:r>
      <w:bookmarkEnd w:id="12"/>
    </w:p>
  </w:footnote>
  <w:footnote w:id="19">
    <w:p w14:paraId="62626A3C" w14:textId="28B92832" w:rsidR="00A364B0" w:rsidRPr="00600620" w:rsidRDefault="00A364B0" w:rsidP="00332FFB">
      <w:pPr>
        <w:pStyle w:val="FootnoteText"/>
        <w:jc w:val="both"/>
        <w:rPr>
          <w:rFonts w:ascii="Times New Roman" w:hAnsi="Times New Roman" w:cs="Times New Roman"/>
          <w:i/>
          <w:iCs/>
          <w:color w:val="000000" w:themeColor="text1"/>
          <w:lang w:val="en-GB"/>
        </w:rPr>
      </w:pPr>
      <w:r w:rsidRPr="00600620">
        <w:rPr>
          <w:rStyle w:val="FootnoteReference"/>
          <w:rFonts w:ascii="Times New Roman" w:hAnsi="Times New Roman" w:cs="Times New Roman"/>
          <w:color w:val="000000" w:themeColor="text1"/>
          <w:lang w:val="en-GB"/>
        </w:rPr>
        <w:footnoteRef/>
      </w:r>
      <w:r>
        <w:rPr>
          <w:rFonts w:ascii="Times New Roman" w:hAnsi="Times New Roman" w:cs="Times New Roman"/>
          <w:color w:val="000000" w:themeColor="text1"/>
          <w:lang w:val="en-GB"/>
        </w:rPr>
        <w:t xml:space="preserve"> </w:t>
      </w:r>
      <w:r w:rsidRPr="00A070C0">
        <w:rPr>
          <w:rFonts w:ascii="Times New Roman" w:hAnsi="Times New Roman" w:cs="Times New Roman"/>
          <w:color w:val="000000" w:themeColor="text1"/>
          <w:lang w:val="en-GB"/>
        </w:rPr>
        <w:t>Supreme Court of the Republic of Croatia</w:t>
      </w:r>
      <w:r w:rsidRPr="00600620">
        <w:rPr>
          <w:rFonts w:ascii="Times New Roman" w:hAnsi="Times New Roman" w:cs="Times New Roman"/>
          <w:color w:val="000000" w:themeColor="text1"/>
          <w:lang w:val="en-GB"/>
        </w:rPr>
        <w:t>, Rev-X215/16-2 o</w:t>
      </w:r>
      <w:r>
        <w:rPr>
          <w:rFonts w:ascii="Times New Roman" w:hAnsi="Times New Roman" w:cs="Times New Roman"/>
          <w:color w:val="000000" w:themeColor="text1"/>
          <w:lang w:val="en-GB"/>
        </w:rPr>
        <w:t>f</w:t>
      </w:r>
      <w:r w:rsidRPr="00600620">
        <w:rPr>
          <w:rFonts w:ascii="Times New Roman" w:hAnsi="Times New Roman" w:cs="Times New Roman"/>
          <w:color w:val="000000" w:themeColor="text1"/>
          <w:lang w:val="en-GB"/>
        </w:rPr>
        <w:t xml:space="preserve"> 23</w:t>
      </w:r>
      <w:r>
        <w:rPr>
          <w:rFonts w:ascii="Times New Roman" w:hAnsi="Times New Roman" w:cs="Times New Roman"/>
          <w:color w:val="000000" w:themeColor="text1"/>
          <w:lang w:val="en-GB"/>
        </w:rPr>
        <w:t xml:space="preserve"> November</w:t>
      </w:r>
      <w:r w:rsidRPr="00600620">
        <w:rPr>
          <w:rFonts w:ascii="Times New Roman" w:hAnsi="Times New Roman" w:cs="Times New Roman"/>
          <w:color w:val="000000" w:themeColor="text1"/>
          <w:lang w:val="en-GB"/>
        </w:rPr>
        <w:t xml:space="preserve"> 2016, </w:t>
      </w:r>
      <w:r>
        <w:rPr>
          <w:rFonts w:ascii="Times New Roman" w:hAnsi="Times New Roman" w:cs="Times New Roman"/>
          <w:color w:val="000000" w:themeColor="text1"/>
          <w:lang w:val="en-GB"/>
        </w:rPr>
        <w:t>downloaded from</w:t>
      </w:r>
      <w:r w:rsidRPr="00600620">
        <w:rPr>
          <w:rFonts w:ascii="Times New Roman" w:hAnsi="Times New Roman" w:cs="Times New Roman"/>
          <w:color w:val="000000" w:themeColor="text1"/>
          <w:lang w:val="en-GB"/>
        </w:rPr>
        <w:t xml:space="preserve"> </w:t>
      </w:r>
      <w:hyperlink r:id="rId2" w:history="1">
        <w:r w:rsidRPr="00600620">
          <w:rPr>
            <w:rStyle w:val="Hyperlink"/>
            <w:rFonts w:ascii="Times New Roman" w:hAnsi="Times New Roman" w:cs="Times New Roman"/>
            <w:i/>
            <w:iCs/>
            <w:lang w:val="en-GB"/>
          </w:rPr>
          <w:t>https://informator.hr/informatori/6491</w:t>
        </w:r>
      </w:hyperlink>
    </w:p>
  </w:footnote>
  <w:footnote w:id="20">
    <w:p w14:paraId="11F65D57" w14:textId="65323104" w:rsidR="00A364B0" w:rsidRPr="00600620" w:rsidRDefault="00A364B0" w:rsidP="00DA1DF4">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38</w:t>
      </w:r>
      <w:r>
        <w:rPr>
          <w:rFonts w:ascii="Times New Roman" w:hAnsi="Times New Roman" w:cs="Times New Roman"/>
          <w:lang w:val="en-GB"/>
        </w:rPr>
        <w:t xml:space="preserve"> paragraphs</w:t>
      </w:r>
      <w:r w:rsidRPr="00600620">
        <w:rPr>
          <w:rFonts w:ascii="Times New Roman" w:hAnsi="Times New Roman" w:cs="Times New Roman"/>
          <w:lang w:val="en-GB"/>
        </w:rPr>
        <w:t xml:space="preserve"> 1-3</w:t>
      </w:r>
      <w:r>
        <w:rPr>
          <w:rFonts w:ascii="Times New Roman" w:hAnsi="Times New Roman" w:cs="Times New Roman"/>
          <w:lang w:val="en-GB"/>
        </w:rPr>
        <w:t xml:space="preserve"> of the AOOPR</w:t>
      </w:r>
      <w:r w:rsidRPr="00600620">
        <w:rPr>
          <w:rFonts w:ascii="Times New Roman" w:hAnsi="Times New Roman" w:cs="Times New Roman"/>
          <w:lang w:val="en-GB"/>
        </w:rPr>
        <w:t xml:space="preserve">. </w:t>
      </w:r>
    </w:p>
  </w:footnote>
  <w:footnote w:id="21">
    <w:p w14:paraId="7DED59E6" w14:textId="34FA3C71" w:rsidR="00A364B0" w:rsidRPr="00600620" w:rsidRDefault="00A364B0" w:rsidP="000B5F46">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Physical surrender is an externally visible physical act whereas will expression-related surrender represents transfer of property without its physical surrender, which takes place in the form of consensual expression of the will of both the possessor and the acquirer about the handover of the property to the acquirer</w:t>
      </w:r>
      <w:r w:rsidRPr="00600620">
        <w:rPr>
          <w:rFonts w:ascii="Times New Roman" w:hAnsi="Times New Roman" w:cs="Times New Roman"/>
          <w:lang w:val="en-GB"/>
        </w:rPr>
        <w:t>. (Gavella et.al., 2007 p. 203).</w:t>
      </w:r>
    </w:p>
  </w:footnote>
  <w:footnote w:id="22">
    <w:p w14:paraId="544A977C" w14:textId="0EBA5897" w:rsidR="00A364B0" w:rsidRPr="00600620" w:rsidRDefault="00A364B0">
      <w:pPr>
        <w:pStyle w:val="FootnoteText"/>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proofErr w:type="gramStart"/>
      <w:r w:rsidRPr="00600620">
        <w:rPr>
          <w:rFonts w:ascii="Times New Roman" w:hAnsi="Times New Roman" w:cs="Times New Roman"/>
          <w:i/>
          <w:iCs/>
          <w:lang w:val="en-GB"/>
        </w:rPr>
        <w:t>Ibid</w:t>
      </w:r>
      <w:r w:rsidRPr="00600620">
        <w:rPr>
          <w:rFonts w:ascii="Times New Roman" w:hAnsi="Times New Roman" w:cs="Times New Roman"/>
          <w:lang w:val="en-GB"/>
        </w:rPr>
        <w:t>,,</w:t>
      </w:r>
      <w:proofErr w:type="gramEnd"/>
      <w:r w:rsidRPr="00600620">
        <w:rPr>
          <w:rFonts w:ascii="Times New Roman" w:hAnsi="Times New Roman" w:cs="Times New Roman"/>
          <w:lang w:val="en-GB"/>
        </w:rPr>
        <w:t xml:space="preserve"> </w:t>
      </w:r>
      <w:r>
        <w:rPr>
          <w:rFonts w:ascii="Times New Roman" w:hAnsi="Times New Roman" w:cs="Times New Roman"/>
          <w:lang w:val="en-GB"/>
        </w:rPr>
        <w:t>p</w:t>
      </w:r>
      <w:r w:rsidRPr="00600620">
        <w:rPr>
          <w:rFonts w:ascii="Times New Roman" w:hAnsi="Times New Roman" w:cs="Times New Roman"/>
          <w:lang w:val="en-GB"/>
        </w:rPr>
        <w:t>. 196.</w:t>
      </w:r>
    </w:p>
  </w:footnote>
  <w:footnote w:id="23">
    <w:p w14:paraId="1DE62FFD" w14:textId="5229D19D" w:rsidR="00A364B0" w:rsidRPr="00600620" w:rsidRDefault="00A364B0" w:rsidP="004C08A9">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S</w:t>
      </w:r>
      <w:r>
        <w:rPr>
          <w:rFonts w:ascii="Times New Roman" w:hAnsi="Times New Roman" w:cs="Times New Roman"/>
          <w:lang w:val="en-GB"/>
        </w:rPr>
        <w:t>ymbolic tradition is a kind of tradition which implies transfer of property through an instrument, document or similar</w:t>
      </w:r>
      <w:r w:rsidRPr="00600620">
        <w:rPr>
          <w:rFonts w:ascii="Times New Roman" w:hAnsi="Times New Roman" w:cs="Times New Roman"/>
          <w:lang w:val="en-GB"/>
        </w:rPr>
        <w:t>. S</w:t>
      </w:r>
      <w:r>
        <w:rPr>
          <w:rFonts w:ascii="Times New Roman" w:hAnsi="Times New Roman" w:cs="Times New Roman"/>
          <w:lang w:val="en-GB"/>
        </w:rPr>
        <w:t>y</w:t>
      </w:r>
      <w:r w:rsidRPr="00600620">
        <w:rPr>
          <w:rFonts w:ascii="Times New Roman" w:hAnsi="Times New Roman" w:cs="Times New Roman"/>
          <w:lang w:val="en-GB"/>
        </w:rPr>
        <w:t>mboli</w:t>
      </w:r>
      <w:r>
        <w:rPr>
          <w:rFonts w:ascii="Times New Roman" w:hAnsi="Times New Roman" w:cs="Times New Roman"/>
          <w:lang w:val="en-GB"/>
        </w:rPr>
        <w:t xml:space="preserve">c tradition applies </w:t>
      </w:r>
      <w:r w:rsidR="00026E36">
        <w:rPr>
          <w:rFonts w:ascii="Times New Roman" w:hAnsi="Times New Roman" w:cs="Times New Roman"/>
          <w:lang w:val="en-GB"/>
        </w:rPr>
        <w:t xml:space="preserve">primarily </w:t>
      </w:r>
      <w:r>
        <w:rPr>
          <w:rFonts w:ascii="Times New Roman" w:hAnsi="Times New Roman" w:cs="Times New Roman"/>
          <w:lang w:val="en-GB"/>
        </w:rPr>
        <w:t>in case of remote objects (from the perspective of both the possessor and acquirer) and those that cannot be physically rendered</w:t>
      </w:r>
      <w:r w:rsidRPr="00600620">
        <w:rPr>
          <w:rFonts w:ascii="Times New Roman" w:hAnsi="Times New Roman" w:cs="Times New Roman"/>
          <w:lang w:val="en-GB"/>
        </w:rPr>
        <w:t xml:space="preserve">. </w:t>
      </w:r>
      <w:r>
        <w:rPr>
          <w:rFonts w:ascii="Times New Roman" w:hAnsi="Times New Roman" w:cs="Times New Roman"/>
          <w:lang w:val="en-GB"/>
        </w:rPr>
        <w:t>It is used instead of physical surrender when certain goods need to be transported</w:t>
      </w:r>
      <w:r w:rsidRPr="00600620">
        <w:rPr>
          <w:rFonts w:ascii="Times New Roman" w:hAnsi="Times New Roman" w:cs="Times New Roman"/>
          <w:lang w:val="en-GB"/>
        </w:rPr>
        <w:t xml:space="preserve">. </w:t>
      </w:r>
      <w:r>
        <w:rPr>
          <w:rFonts w:ascii="Times New Roman" w:hAnsi="Times New Roman" w:cs="Times New Roman"/>
          <w:lang w:val="en-GB"/>
        </w:rPr>
        <w:t>It is based on physical handover of documents (bill of lading)</w:t>
      </w:r>
      <w:r w:rsidRPr="00600620">
        <w:rPr>
          <w:rFonts w:ascii="Times New Roman" w:hAnsi="Times New Roman" w:cs="Times New Roman"/>
          <w:lang w:val="en-GB"/>
        </w:rPr>
        <w:t xml:space="preserve">. </w:t>
      </w:r>
      <w:r>
        <w:rPr>
          <w:rFonts w:ascii="Times New Roman" w:hAnsi="Times New Roman" w:cs="Times New Roman"/>
          <w:lang w:val="en-GB"/>
        </w:rPr>
        <w:t xml:space="preserve">One of the examples of symbolic tradition is also cattle labelling, on the occasion of which </w:t>
      </w:r>
      <w:r w:rsidR="00026E36">
        <w:rPr>
          <w:rFonts w:ascii="Times New Roman" w:hAnsi="Times New Roman" w:cs="Times New Roman"/>
          <w:lang w:val="en-GB"/>
        </w:rPr>
        <w:t>a</w:t>
      </w:r>
      <w:r>
        <w:rPr>
          <w:rFonts w:ascii="Times New Roman" w:hAnsi="Times New Roman" w:cs="Times New Roman"/>
          <w:lang w:val="en-GB"/>
        </w:rPr>
        <w:t xml:space="preserve"> livestock unit is marked with a trader’s label as a proof that the unit is now the property of the buyer (as to avoid the need to physically detach every unit from the herd immediately after the purchase</w:t>
      </w:r>
      <w:r w:rsidRPr="00600620">
        <w:rPr>
          <w:rFonts w:ascii="Times New Roman" w:hAnsi="Times New Roman" w:cs="Times New Roman"/>
          <w:lang w:val="en-GB"/>
        </w:rPr>
        <w:t>) (Klarić, Vedriš, 2006 p. 211).</w:t>
      </w:r>
    </w:p>
  </w:footnote>
  <w:footnote w:id="24">
    <w:p w14:paraId="6EC41108" w14:textId="3B4866BB" w:rsidR="00A364B0" w:rsidRPr="00600620" w:rsidRDefault="00A364B0" w:rsidP="002645CD">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County Court in</w:t>
      </w:r>
      <w:r w:rsidRPr="00600620">
        <w:rPr>
          <w:rFonts w:ascii="Times New Roman" w:hAnsi="Times New Roman" w:cs="Times New Roman"/>
          <w:lang w:val="en-GB"/>
        </w:rPr>
        <w:t xml:space="preserve"> Varaždin, Gž-116/08-2 o</w:t>
      </w:r>
      <w:r>
        <w:rPr>
          <w:rFonts w:ascii="Times New Roman" w:hAnsi="Times New Roman" w:cs="Times New Roman"/>
          <w:lang w:val="en-GB"/>
        </w:rPr>
        <w:t>f</w:t>
      </w:r>
      <w:r w:rsidRPr="00600620">
        <w:rPr>
          <w:rFonts w:ascii="Times New Roman" w:hAnsi="Times New Roman" w:cs="Times New Roman"/>
          <w:lang w:val="en-GB"/>
        </w:rPr>
        <w:t xml:space="preserve"> 9</w:t>
      </w:r>
      <w:r>
        <w:rPr>
          <w:rFonts w:ascii="Times New Roman" w:hAnsi="Times New Roman" w:cs="Times New Roman"/>
          <w:lang w:val="en-GB"/>
        </w:rPr>
        <w:t xml:space="preserve"> April</w:t>
      </w:r>
      <w:r w:rsidRPr="00600620">
        <w:rPr>
          <w:rFonts w:ascii="Times New Roman" w:hAnsi="Times New Roman" w:cs="Times New Roman"/>
          <w:lang w:val="en-GB"/>
        </w:rPr>
        <w:t xml:space="preserve"> 2008.</w:t>
      </w:r>
    </w:p>
  </w:footnote>
  <w:footnote w:id="25">
    <w:p w14:paraId="30AFBCA5" w14:textId="3190E81A" w:rsidR="00A364B0" w:rsidRPr="00600620" w:rsidRDefault="00A364B0" w:rsidP="0074734F">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Act on the Protection against Domestic Violence</w:t>
      </w:r>
      <w:r w:rsidRPr="00600620">
        <w:rPr>
          <w:rFonts w:ascii="Times New Roman" w:hAnsi="Times New Roman" w:cs="Times New Roman"/>
          <w:lang w:val="en-GB"/>
        </w:rPr>
        <w:t xml:space="preserve">, </w:t>
      </w:r>
      <w:r>
        <w:rPr>
          <w:rFonts w:ascii="Times New Roman" w:hAnsi="Times New Roman" w:cs="Times New Roman"/>
          <w:lang w:val="en-GB"/>
        </w:rPr>
        <w:t>Official Gazette no</w:t>
      </w:r>
      <w:r w:rsidRPr="00600620">
        <w:rPr>
          <w:rFonts w:ascii="Times New Roman" w:hAnsi="Times New Roman" w:cs="Times New Roman"/>
          <w:lang w:val="en-GB"/>
        </w:rPr>
        <w:t xml:space="preserve">. 70/17, 126/19, 84/21, 114/22,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APDV</w:t>
      </w:r>
      <w:r w:rsidRPr="00600620">
        <w:rPr>
          <w:rFonts w:ascii="Times New Roman" w:hAnsi="Times New Roman" w:cs="Times New Roman"/>
          <w:lang w:val="en-GB"/>
        </w:rPr>
        <w:t>.</w:t>
      </w:r>
    </w:p>
  </w:footnote>
  <w:footnote w:id="26">
    <w:p w14:paraId="7DACAAB3" w14:textId="2575C269" w:rsidR="00A364B0" w:rsidRPr="00600620" w:rsidRDefault="00A364B0" w:rsidP="002B7568">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In its Article</w:t>
      </w:r>
      <w:r w:rsidRPr="00600620">
        <w:rPr>
          <w:rFonts w:ascii="Times New Roman" w:hAnsi="Times New Roman" w:cs="Times New Roman"/>
          <w:lang w:val="en-GB"/>
        </w:rPr>
        <w:t xml:space="preserve"> 6 </w:t>
      </w:r>
      <w:r>
        <w:rPr>
          <w:rFonts w:ascii="Times New Roman" w:hAnsi="Times New Roman" w:cs="Times New Roman"/>
          <w:lang w:val="en-GB"/>
        </w:rPr>
        <w:t>paragraph</w:t>
      </w:r>
      <w:r w:rsidRPr="00600620">
        <w:rPr>
          <w:rFonts w:ascii="Times New Roman" w:hAnsi="Times New Roman" w:cs="Times New Roman"/>
          <w:lang w:val="en-GB"/>
        </w:rPr>
        <w:t xml:space="preserve"> 1</w:t>
      </w:r>
      <w:r>
        <w:rPr>
          <w:rFonts w:ascii="Times New Roman" w:hAnsi="Times New Roman" w:cs="Times New Roman"/>
          <w:lang w:val="en-GB"/>
        </w:rPr>
        <w:t xml:space="preserve"> item</w:t>
      </w:r>
      <w:r w:rsidRPr="00600620">
        <w:rPr>
          <w:rFonts w:ascii="Times New Roman" w:hAnsi="Times New Roman" w:cs="Times New Roman"/>
          <w:lang w:val="en-GB"/>
        </w:rPr>
        <w:t xml:space="preserve"> 13</w:t>
      </w:r>
      <w:r>
        <w:rPr>
          <w:rFonts w:ascii="Times New Roman" w:hAnsi="Times New Roman" w:cs="Times New Roman"/>
          <w:lang w:val="en-GB"/>
        </w:rPr>
        <w:t xml:space="preserve">, the APDV already mentions the right of a victim </w:t>
      </w:r>
      <w:r w:rsidR="00026E36">
        <w:rPr>
          <w:rFonts w:ascii="Times New Roman" w:hAnsi="Times New Roman" w:cs="Times New Roman"/>
          <w:lang w:val="en-GB"/>
        </w:rPr>
        <w:t xml:space="preserve">of </w:t>
      </w:r>
      <w:r>
        <w:rPr>
          <w:rFonts w:ascii="Times New Roman" w:hAnsi="Times New Roman" w:cs="Times New Roman"/>
          <w:lang w:val="en-GB"/>
        </w:rPr>
        <w:t>domestic violence to be provided with temporary accommodation in a convenient institution</w:t>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10</w:t>
      </w:r>
      <w:r>
        <w:rPr>
          <w:rFonts w:ascii="Times New Roman" w:hAnsi="Times New Roman" w:cs="Times New Roman"/>
          <w:lang w:val="en-GB"/>
        </w:rPr>
        <w:t xml:space="preserve"> paragraph</w:t>
      </w:r>
      <w:r w:rsidRPr="00600620">
        <w:rPr>
          <w:rFonts w:ascii="Times New Roman" w:hAnsi="Times New Roman" w:cs="Times New Roman"/>
          <w:lang w:val="en-GB"/>
        </w:rPr>
        <w:t xml:space="preserve"> 1</w:t>
      </w:r>
      <w:r>
        <w:rPr>
          <w:rFonts w:ascii="Times New Roman" w:hAnsi="Times New Roman" w:cs="Times New Roman"/>
          <w:lang w:val="en-GB"/>
        </w:rPr>
        <w:t xml:space="preserve"> item</w:t>
      </w:r>
      <w:r w:rsidRPr="00600620">
        <w:rPr>
          <w:rFonts w:ascii="Times New Roman" w:hAnsi="Times New Roman" w:cs="Times New Roman"/>
          <w:lang w:val="en-GB"/>
        </w:rPr>
        <w:t xml:space="preserve"> 5</w:t>
      </w:r>
      <w:r>
        <w:rPr>
          <w:rFonts w:ascii="Times New Roman" w:hAnsi="Times New Roman" w:cs="Times New Roman"/>
          <w:lang w:val="en-GB"/>
        </w:rPr>
        <w:t xml:space="preserve"> of the APDV defines economic violence as preventing the use of common or personal property and preventing disposal of property acquired based on employment income or inheritance</w:t>
      </w:r>
      <w:r w:rsidRPr="00600620">
        <w:rPr>
          <w:rFonts w:ascii="Times New Roman" w:hAnsi="Times New Roman" w:cs="Times New Roman"/>
          <w:lang w:val="en-GB"/>
        </w:rPr>
        <w:t>.</w:t>
      </w:r>
    </w:p>
  </w:footnote>
  <w:footnote w:id="27">
    <w:p w14:paraId="4B142EE9" w14:textId="45ADBF5B" w:rsidR="00A364B0" w:rsidRPr="00600620" w:rsidRDefault="00A364B0" w:rsidP="002663EF">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Regardless of the proclaimed right</w:t>
      </w:r>
      <w:r w:rsidRPr="003E0931">
        <w:rPr>
          <w:rFonts w:ascii="Times New Roman" w:hAnsi="Times New Roman" w:cs="Times New Roman"/>
          <w:lang w:val="en-GB"/>
        </w:rPr>
        <w:t xml:space="preserve"> </w:t>
      </w:r>
      <w:r>
        <w:rPr>
          <w:rFonts w:ascii="Times New Roman" w:hAnsi="Times New Roman" w:cs="Times New Roman"/>
          <w:lang w:val="en-GB"/>
        </w:rPr>
        <w:t xml:space="preserve">of a victim </w:t>
      </w:r>
      <w:r w:rsidR="00026E36">
        <w:rPr>
          <w:rFonts w:ascii="Times New Roman" w:hAnsi="Times New Roman" w:cs="Times New Roman"/>
          <w:lang w:val="en-GB"/>
        </w:rPr>
        <w:t xml:space="preserve">of </w:t>
      </w:r>
      <w:r>
        <w:rPr>
          <w:rFonts w:ascii="Times New Roman" w:hAnsi="Times New Roman" w:cs="Times New Roman"/>
          <w:lang w:val="en-GB"/>
        </w:rPr>
        <w:t>domestic violence to</w:t>
      </w:r>
      <w:r w:rsidRPr="00600620">
        <w:rPr>
          <w:rFonts w:ascii="Times New Roman" w:hAnsi="Times New Roman" w:cs="Times New Roman"/>
          <w:lang w:val="en-GB"/>
        </w:rPr>
        <w:t xml:space="preserve"> </w:t>
      </w:r>
      <w:r>
        <w:rPr>
          <w:rFonts w:ascii="Times New Roman" w:hAnsi="Times New Roman" w:cs="Times New Roman"/>
          <w:lang w:val="en-GB"/>
        </w:rPr>
        <w:t>temporary accommodation in a convenient institution</w:t>
      </w:r>
      <w:r w:rsidRPr="00600620">
        <w:rPr>
          <w:rFonts w:ascii="Times New Roman" w:hAnsi="Times New Roman" w:cs="Times New Roman"/>
          <w:lang w:val="en-GB"/>
        </w:rPr>
        <w:t xml:space="preserve">, </w:t>
      </w:r>
      <w:r>
        <w:rPr>
          <w:rFonts w:ascii="Times New Roman" w:hAnsi="Times New Roman" w:cs="Times New Roman"/>
          <w:lang w:val="en-GB"/>
        </w:rPr>
        <w:t>existence of removal measures for perpetrators of domestic violence, foreseen in Article 13 of the APDV and duty of urgent intervention by competent bodies in case of domestic violence, envisaged in Article 4 of the APDV, it may happen that the victim leaves her/her apartment without activating the protection measures laid down in the APDV</w:t>
      </w:r>
      <w:r w:rsidRPr="00600620">
        <w:rPr>
          <w:rFonts w:ascii="Times New Roman" w:hAnsi="Times New Roman" w:cs="Times New Roman"/>
          <w:lang w:val="en-GB"/>
        </w:rPr>
        <w:t>.</w:t>
      </w:r>
    </w:p>
  </w:footnote>
  <w:footnote w:id="28">
    <w:p w14:paraId="5269282F" w14:textId="30C0EC20" w:rsidR="00A364B0" w:rsidRPr="00600620" w:rsidRDefault="00A364B0" w:rsidP="00FA20FA">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Mo</w:t>
      </w:r>
      <w:r>
        <w:rPr>
          <w:rFonts w:ascii="Times New Roman" w:hAnsi="Times New Roman" w:cs="Times New Roman"/>
          <w:lang w:val="en-GB"/>
        </w:rPr>
        <w:t>ral and tangible goods protected by truth-finding limitation in civil proceedings are undoubtedly more significant from the social perspective than the court’s potential benefit which could be gained if the court would be authorized to ignore them</w:t>
      </w:r>
      <w:r w:rsidRPr="00600620">
        <w:rPr>
          <w:rFonts w:ascii="Times New Roman" w:hAnsi="Times New Roman" w:cs="Times New Roman"/>
          <w:lang w:val="en-GB"/>
        </w:rPr>
        <w:t xml:space="preserve">. </w:t>
      </w:r>
      <w:r>
        <w:rPr>
          <w:rFonts w:ascii="Times New Roman" w:hAnsi="Times New Roman" w:cs="Times New Roman"/>
          <w:lang w:val="en-GB"/>
        </w:rPr>
        <w:t>Legal presumptions bear such relevance, for example</w:t>
      </w:r>
      <w:r w:rsidRPr="00600620">
        <w:rPr>
          <w:rFonts w:ascii="Times New Roman" w:hAnsi="Times New Roman" w:cs="Times New Roman"/>
          <w:lang w:val="en-GB"/>
        </w:rPr>
        <w:t>. (Triva, 1978 p. 128).</w:t>
      </w:r>
    </w:p>
  </w:footnote>
  <w:footnote w:id="29">
    <w:p w14:paraId="5AE88C73" w14:textId="29C13638" w:rsidR="00A364B0" w:rsidRPr="00600620" w:rsidRDefault="00A364B0" w:rsidP="0029655F">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bookmarkStart w:id="15" w:name="_Hlk136980729"/>
      <w:r>
        <w:rPr>
          <w:rFonts w:ascii="Times New Roman" w:hAnsi="Times New Roman" w:cs="Times New Roman"/>
          <w:lang w:val="en-GB"/>
        </w:rPr>
        <w:t>Act on Amendments to the Civil Procedure Act</w:t>
      </w:r>
      <w:r w:rsidRPr="00600620">
        <w:rPr>
          <w:rFonts w:ascii="Times New Roman" w:hAnsi="Times New Roman" w:cs="Times New Roman"/>
          <w:lang w:val="en-GB"/>
        </w:rPr>
        <w:t xml:space="preserve">, </w:t>
      </w:r>
      <w:bookmarkStart w:id="16" w:name="_Hlk120809020"/>
      <w:r>
        <w:rPr>
          <w:rFonts w:ascii="Times New Roman" w:hAnsi="Times New Roman" w:cs="Times New Roman"/>
          <w:lang w:val="en-GB"/>
        </w:rPr>
        <w:t>Official Gazette no</w:t>
      </w:r>
      <w:bookmarkEnd w:id="15"/>
      <w:r w:rsidRPr="00600620">
        <w:rPr>
          <w:rFonts w:ascii="Times New Roman" w:hAnsi="Times New Roman" w:cs="Times New Roman"/>
          <w:lang w:val="en-GB"/>
        </w:rPr>
        <w:t xml:space="preserve">. 70/19,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AACPA</w:t>
      </w:r>
      <w:r w:rsidRPr="00600620">
        <w:rPr>
          <w:rFonts w:ascii="Times New Roman" w:hAnsi="Times New Roman" w:cs="Times New Roman"/>
          <w:lang w:val="en-GB"/>
        </w:rPr>
        <w:t>-19.</w:t>
      </w:r>
      <w:bookmarkEnd w:id="16"/>
    </w:p>
  </w:footnote>
  <w:footnote w:id="30">
    <w:p w14:paraId="54B04AEE" w14:textId="1633A35F" w:rsidR="00A364B0" w:rsidRPr="00600620" w:rsidRDefault="00A364B0" w:rsidP="0029655F">
      <w:pPr>
        <w:pStyle w:val="FootnoteText"/>
        <w:jc w:val="both"/>
        <w:rPr>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Pr="005B0F19">
        <w:rPr>
          <w:rFonts w:ascii="Times New Roman" w:hAnsi="Times New Roman" w:cs="Times New Roman"/>
          <w:lang w:val="en-GB"/>
        </w:rPr>
        <w:t>Act on Amendments to the Civil Procedure Act, Official Gazette no</w:t>
      </w:r>
      <w:r w:rsidRPr="00600620">
        <w:rPr>
          <w:rFonts w:ascii="Times New Roman" w:hAnsi="Times New Roman" w:cs="Times New Roman"/>
          <w:lang w:val="en-GB"/>
        </w:rPr>
        <w:t xml:space="preserve">. 80/22, </w:t>
      </w:r>
      <w:r w:rsidRPr="005B0F19">
        <w:rPr>
          <w:rFonts w:ascii="Times New Roman" w:hAnsi="Times New Roman" w:cs="Times New Roman"/>
          <w:lang w:val="en-GB"/>
        </w:rPr>
        <w:t>hereinafter: AACPA</w:t>
      </w:r>
      <w:r w:rsidRPr="00600620">
        <w:rPr>
          <w:rFonts w:ascii="Times New Roman" w:hAnsi="Times New Roman" w:cs="Times New Roman"/>
          <w:lang w:val="en-GB"/>
        </w:rPr>
        <w:t>-22.</w:t>
      </w:r>
    </w:p>
  </w:footnote>
  <w:footnote w:id="31">
    <w:p w14:paraId="3CC87355" w14:textId="4F4281A3" w:rsidR="00A364B0" w:rsidRPr="00600620" w:rsidRDefault="00A364B0" w:rsidP="001B0642">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 xml:space="preserve">Appeal (review) is an extraordinary, autonomous, devolving, unsuspendible, limited and bipartite legal remedy used  </w:t>
      </w:r>
      <w:r w:rsidRPr="00600620">
        <w:rPr>
          <w:rFonts w:ascii="Times New Roman" w:hAnsi="Times New Roman" w:cs="Times New Roman"/>
          <w:lang w:val="en-GB"/>
        </w:rPr>
        <w:t xml:space="preserve"> </w:t>
      </w:r>
      <w:r>
        <w:rPr>
          <w:rFonts w:ascii="Times New Roman" w:hAnsi="Times New Roman" w:cs="Times New Roman"/>
          <w:lang w:val="en-GB"/>
        </w:rPr>
        <w:t>against an effective second instance decision made following an appeal against a first instance decision</w:t>
      </w:r>
      <w:r w:rsidRPr="00600620">
        <w:rPr>
          <w:rFonts w:ascii="Times New Roman" w:hAnsi="Times New Roman" w:cs="Times New Roman"/>
          <w:lang w:val="en-GB"/>
        </w:rPr>
        <w:t xml:space="preserve"> (Triva, Dika, 2004 p. 718).</w:t>
      </w:r>
    </w:p>
  </w:footnote>
  <w:footnote w:id="32">
    <w:p w14:paraId="2FA56B7C" w14:textId="1BC9353B" w:rsidR="00A364B0" w:rsidRPr="00600620" w:rsidRDefault="00A364B0" w:rsidP="00CD59B6">
      <w:pPr>
        <w:pStyle w:val="FootnoteText"/>
        <w:jc w:val="both"/>
        <w:rPr>
          <w:rFonts w:ascii="Times New Roman" w:hAnsi="Times New Roman" w:cs="Times New Roman"/>
          <w:lang w:val="en-GB"/>
        </w:rPr>
      </w:pPr>
      <w:r w:rsidRPr="00600620">
        <w:rPr>
          <w:rStyle w:val="FootnoteReference"/>
          <w:lang w:val="en-GB"/>
        </w:rPr>
        <w:footnoteRef/>
      </w:r>
      <w:r w:rsidRPr="00600620">
        <w:rPr>
          <w:lang w:val="en-GB"/>
        </w:rPr>
        <w:t xml:space="preserve"> </w:t>
      </w:r>
      <w:r>
        <w:rPr>
          <w:rFonts w:ascii="Times New Roman" w:hAnsi="Times New Roman" w:cs="Times New Roman"/>
          <w:lang w:val="en-GB"/>
        </w:rPr>
        <w:t xml:space="preserve">In the event of an appeal (review), the </w:t>
      </w:r>
      <w:r w:rsidRPr="00600620">
        <w:rPr>
          <w:rFonts w:ascii="Times New Roman" w:hAnsi="Times New Roman" w:cs="Times New Roman"/>
          <w:lang w:val="en-GB"/>
        </w:rPr>
        <w:t>S</w:t>
      </w:r>
      <w:r w:rsidR="00411571">
        <w:rPr>
          <w:rFonts w:ascii="Times New Roman" w:hAnsi="Times New Roman" w:cs="Times New Roman"/>
          <w:lang w:val="en-GB"/>
        </w:rPr>
        <w:t>C</w:t>
      </w:r>
      <w:r w:rsidRPr="00600620">
        <w:rPr>
          <w:rFonts w:ascii="Times New Roman" w:hAnsi="Times New Roman" w:cs="Times New Roman"/>
          <w:lang w:val="en-GB"/>
        </w:rPr>
        <w:t>R</w:t>
      </w:r>
      <w:r>
        <w:rPr>
          <w:rFonts w:ascii="Times New Roman" w:hAnsi="Times New Roman" w:cs="Times New Roman"/>
          <w:lang w:val="en-GB"/>
        </w:rPr>
        <w:t>C should make decisions that should serve as a precedent and guiding light for lower courts</w:t>
      </w:r>
      <w:r w:rsidRPr="00600620">
        <w:rPr>
          <w:rFonts w:ascii="Times New Roman" w:hAnsi="Times New Roman" w:cs="Times New Roman"/>
          <w:lang w:val="en-GB"/>
        </w:rPr>
        <w:t xml:space="preserve">. </w:t>
      </w:r>
      <w:r>
        <w:rPr>
          <w:rFonts w:ascii="Times New Roman" w:hAnsi="Times New Roman" w:cs="Times New Roman"/>
          <w:lang w:val="en-GB"/>
        </w:rPr>
        <w:t>That way, the outcome of court proceedings would become more predictable and the legal security would increase</w:t>
      </w:r>
      <w:r w:rsidRPr="00600620">
        <w:rPr>
          <w:rFonts w:ascii="Times New Roman" w:hAnsi="Times New Roman" w:cs="Times New Roman"/>
          <w:lang w:val="en-GB"/>
        </w:rPr>
        <w:t xml:space="preserve">. </w:t>
      </w:r>
      <w:r>
        <w:rPr>
          <w:rFonts w:ascii="Times New Roman" w:hAnsi="Times New Roman" w:cs="Times New Roman"/>
          <w:lang w:val="en-GB"/>
        </w:rPr>
        <w:t>What really matters here are legal standards which are shaped only by the SCRC while the legislator only adopts criteria that needs to be met by the SCRC</w:t>
      </w:r>
      <w:r w:rsidRPr="00600620">
        <w:rPr>
          <w:rFonts w:ascii="Times New Roman" w:hAnsi="Times New Roman" w:cs="Times New Roman"/>
          <w:lang w:val="en-GB"/>
        </w:rPr>
        <w:t xml:space="preserve">. </w:t>
      </w:r>
      <w:r>
        <w:rPr>
          <w:rFonts w:ascii="Times New Roman" w:hAnsi="Times New Roman" w:cs="Times New Roman"/>
          <w:lang w:val="en-GB"/>
        </w:rPr>
        <w:t>To ensure uniform application and progress of law, it is necessary to deal with relevant legal issues</w:t>
      </w:r>
      <w:r w:rsidRPr="00600620">
        <w:rPr>
          <w:rFonts w:ascii="Times New Roman" w:hAnsi="Times New Roman" w:cs="Times New Roman"/>
          <w:lang w:val="en-GB"/>
        </w:rPr>
        <w:t>. (Bratković, 2018 p. 860).</w:t>
      </w:r>
    </w:p>
  </w:footnote>
  <w:footnote w:id="33">
    <w:p w14:paraId="0C74593E" w14:textId="62CB461C" w:rsidR="00A364B0" w:rsidRPr="00600620" w:rsidRDefault="00A364B0" w:rsidP="00AB41CE">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The new appeal regulation expects from the SCRC to provide, as the highest court in the country, uniform application of law and corresponding equality for all</w:t>
      </w:r>
      <w:r w:rsidRPr="00600620">
        <w:rPr>
          <w:rFonts w:ascii="Times New Roman" w:hAnsi="Times New Roman" w:cs="Times New Roman"/>
          <w:lang w:val="en-GB"/>
        </w:rPr>
        <w:t>. (Bratković, Katić, 2019 p. 5).</w:t>
      </w:r>
    </w:p>
  </w:footnote>
  <w:footnote w:id="34">
    <w:p w14:paraId="63989A4C" w14:textId="4CA652B0" w:rsidR="00A364B0" w:rsidRPr="00600620" w:rsidRDefault="00A364B0" w:rsidP="001243AB">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62</w:t>
      </w:r>
      <w:r>
        <w:rPr>
          <w:rFonts w:ascii="Times New Roman" w:hAnsi="Times New Roman" w:cs="Times New Roman"/>
          <w:lang w:val="en-GB"/>
        </w:rPr>
        <w:t xml:space="preserve"> paragraph</w:t>
      </w:r>
      <w:r w:rsidRPr="00600620">
        <w:rPr>
          <w:rFonts w:ascii="Times New Roman" w:hAnsi="Times New Roman" w:cs="Times New Roman"/>
          <w:lang w:val="en-GB"/>
        </w:rPr>
        <w:t xml:space="preserve"> 1</w:t>
      </w:r>
      <w:r>
        <w:rPr>
          <w:rFonts w:ascii="Times New Roman" w:hAnsi="Times New Roman" w:cs="Times New Roman"/>
          <w:lang w:val="en-GB"/>
        </w:rPr>
        <w:t xml:space="preserve"> of the AACPA</w:t>
      </w:r>
      <w:r w:rsidRPr="00600620">
        <w:rPr>
          <w:rFonts w:ascii="Times New Roman" w:hAnsi="Times New Roman" w:cs="Times New Roman"/>
          <w:lang w:val="en-GB"/>
        </w:rPr>
        <w:t>-22.</w:t>
      </w:r>
    </w:p>
  </w:footnote>
  <w:footnote w:id="35">
    <w:p w14:paraId="2B9E2D0D" w14:textId="3C017017" w:rsidR="00A364B0" w:rsidRPr="00600620" w:rsidRDefault="00A364B0" w:rsidP="00A0206E">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Article</w:t>
      </w:r>
      <w:r w:rsidRPr="00600620">
        <w:rPr>
          <w:rFonts w:ascii="Times New Roman" w:hAnsi="Times New Roman" w:cs="Times New Roman"/>
          <w:lang w:val="en-GB"/>
        </w:rPr>
        <w:t xml:space="preserve"> 62 </w:t>
      </w:r>
      <w:r>
        <w:rPr>
          <w:rFonts w:ascii="Times New Roman" w:hAnsi="Times New Roman" w:cs="Times New Roman"/>
          <w:lang w:val="en-GB"/>
        </w:rPr>
        <w:t>paragraph</w:t>
      </w:r>
      <w:r w:rsidRPr="00600620">
        <w:rPr>
          <w:rFonts w:ascii="Times New Roman" w:hAnsi="Times New Roman" w:cs="Times New Roman"/>
          <w:lang w:val="en-GB"/>
        </w:rPr>
        <w:t xml:space="preserve"> 1 </w:t>
      </w:r>
      <w:r>
        <w:rPr>
          <w:rFonts w:ascii="Times New Roman" w:hAnsi="Times New Roman" w:cs="Times New Roman"/>
          <w:lang w:val="en-GB"/>
        </w:rPr>
        <w:t>item</w:t>
      </w:r>
      <w:r w:rsidRPr="00600620">
        <w:rPr>
          <w:rFonts w:ascii="Times New Roman" w:hAnsi="Times New Roman" w:cs="Times New Roman"/>
          <w:lang w:val="en-GB"/>
        </w:rPr>
        <w:t xml:space="preserve"> 4</w:t>
      </w:r>
      <w:r>
        <w:rPr>
          <w:rFonts w:ascii="Times New Roman" w:hAnsi="Times New Roman" w:cs="Times New Roman"/>
          <w:lang w:val="en-GB"/>
        </w:rPr>
        <w:t xml:space="preserve"> of the AACPA</w:t>
      </w:r>
      <w:r w:rsidRPr="00600620">
        <w:rPr>
          <w:rFonts w:ascii="Times New Roman" w:hAnsi="Times New Roman" w:cs="Times New Roman"/>
          <w:lang w:val="en-GB"/>
        </w:rPr>
        <w:t>-22.</w:t>
      </w:r>
    </w:p>
  </w:footnote>
  <w:footnote w:id="36">
    <w:p w14:paraId="19B183CC" w14:textId="6A901A71" w:rsidR="00A364B0" w:rsidRPr="00600620" w:rsidRDefault="00A364B0" w:rsidP="003B1087">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If a case involves interpretation of EU law in which regard the lower courts ha</w:t>
      </w:r>
      <w:r w:rsidR="00411571">
        <w:rPr>
          <w:rFonts w:ascii="Times New Roman" w:hAnsi="Times New Roman" w:cs="Times New Roman"/>
          <w:lang w:val="en-GB"/>
        </w:rPr>
        <w:t>ve</w:t>
      </w:r>
      <w:r>
        <w:rPr>
          <w:rFonts w:ascii="Times New Roman" w:hAnsi="Times New Roman" w:cs="Times New Roman"/>
          <w:lang w:val="en-GB"/>
        </w:rPr>
        <w:t xml:space="preserve"> not </w:t>
      </w:r>
      <w:proofErr w:type="gramStart"/>
      <w:r>
        <w:rPr>
          <w:rFonts w:ascii="Times New Roman" w:hAnsi="Times New Roman" w:cs="Times New Roman"/>
          <w:lang w:val="en-GB"/>
        </w:rPr>
        <w:t>submitted an application</w:t>
      </w:r>
      <w:proofErr w:type="gramEnd"/>
      <w:r>
        <w:rPr>
          <w:rFonts w:ascii="Times New Roman" w:hAnsi="Times New Roman" w:cs="Times New Roman"/>
          <w:lang w:val="en-GB"/>
        </w:rPr>
        <w:t xml:space="preserve"> for a prior decision to the Court of </w:t>
      </w:r>
      <w:r w:rsidR="00411571">
        <w:rPr>
          <w:rFonts w:ascii="Times New Roman" w:hAnsi="Times New Roman" w:cs="Times New Roman"/>
          <w:lang w:val="en-GB"/>
        </w:rPr>
        <w:t>J</w:t>
      </w:r>
      <w:r>
        <w:rPr>
          <w:rFonts w:ascii="Times New Roman" w:hAnsi="Times New Roman" w:cs="Times New Roman"/>
          <w:lang w:val="en-GB"/>
        </w:rPr>
        <w:t xml:space="preserve">ustice of the European Union, the second appeal should be permitted since the SCRC is obliged, as the highest instance in Croatia, to submit such an application </w:t>
      </w:r>
      <w:r w:rsidRPr="00600620">
        <w:rPr>
          <w:rFonts w:ascii="Times New Roman" w:hAnsi="Times New Roman" w:cs="Times New Roman"/>
          <w:lang w:val="en-GB"/>
        </w:rPr>
        <w:t>(Jug, Pajalić, 2022 p. 38).</w:t>
      </w:r>
    </w:p>
  </w:footnote>
  <w:footnote w:id="37">
    <w:p w14:paraId="324BA9A5" w14:textId="68169B8F" w:rsidR="00A364B0" w:rsidRPr="00600620" w:rsidRDefault="00A364B0" w:rsidP="00EA57FA">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CCRC</w:t>
      </w:r>
      <w:r w:rsidRPr="00600620">
        <w:rPr>
          <w:rFonts w:ascii="Times New Roman" w:hAnsi="Times New Roman" w:cs="Times New Roman"/>
          <w:lang w:val="en-GB"/>
        </w:rPr>
        <w:t>.</w:t>
      </w:r>
    </w:p>
  </w:footnote>
  <w:footnote w:id="38">
    <w:p w14:paraId="2AA365E0" w14:textId="28C42152" w:rsidR="00A364B0" w:rsidRPr="00600620" w:rsidRDefault="00A364B0" w:rsidP="00B221F6">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Constitution of the Republic of Croatia</w:t>
      </w:r>
      <w:r w:rsidRPr="00600620">
        <w:rPr>
          <w:rFonts w:ascii="Times New Roman" w:hAnsi="Times New Roman" w:cs="Times New Roman"/>
          <w:lang w:val="en-GB"/>
        </w:rPr>
        <w:t xml:space="preserve">, </w:t>
      </w:r>
      <w:r>
        <w:rPr>
          <w:rFonts w:ascii="Times New Roman" w:hAnsi="Times New Roman" w:cs="Times New Roman"/>
          <w:lang w:val="en-GB"/>
        </w:rPr>
        <w:t>Official Gazette of the Republic of Croatia no</w:t>
      </w:r>
      <w:r w:rsidRPr="00600620">
        <w:rPr>
          <w:rFonts w:ascii="Times New Roman" w:hAnsi="Times New Roman" w:cs="Times New Roman"/>
          <w:lang w:val="en-GB"/>
        </w:rPr>
        <w:t xml:space="preserve">. 56/90, 135/97, 08/98, 113/00, 124/00, 28/01, 41/01, 55/01, 76/10, 85/10, 05/14, </w:t>
      </w:r>
      <w:r>
        <w:rPr>
          <w:rFonts w:ascii="Times New Roman" w:hAnsi="Times New Roman" w:cs="Times New Roman"/>
          <w:lang w:val="en-GB"/>
        </w:rPr>
        <w:t>hereinafter</w:t>
      </w:r>
      <w:r w:rsidRPr="00600620">
        <w:rPr>
          <w:rFonts w:ascii="Times New Roman" w:hAnsi="Times New Roman" w:cs="Times New Roman"/>
          <w:lang w:val="en-GB"/>
        </w:rPr>
        <w:t xml:space="preserve">: </w:t>
      </w:r>
      <w:r>
        <w:rPr>
          <w:rFonts w:ascii="Times New Roman" w:hAnsi="Times New Roman" w:cs="Times New Roman"/>
          <w:lang w:val="en-GB"/>
        </w:rPr>
        <w:t>CRC</w:t>
      </w:r>
      <w:r w:rsidRPr="00600620">
        <w:rPr>
          <w:rFonts w:ascii="Times New Roman" w:hAnsi="Times New Roman" w:cs="Times New Roman"/>
          <w:lang w:val="en-GB"/>
        </w:rPr>
        <w:t>.</w:t>
      </w:r>
    </w:p>
  </w:footnote>
  <w:footnote w:id="39">
    <w:p w14:paraId="6C8B1E2F" w14:textId="668C2D1C" w:rsidR="00A364B0" w:rsidRPr="00600620" w:rsidRDefault="00A364B0" w:rsidP="00830DD0">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In the period from</w:t>
      </w:r>
      <w:r w:rsidRPr="00600620">
        <w:rPr>
          <w:rFonts w:ascii="Times New Roman" w:hAnsi="Times New Roman" w:cs="Times New Roman"/>
          <w:lang w:val="en-GB"/>
        </w:rPr>
        <w:t xml:space="preserve"> 1</w:t>
      </w:r>
      <w:r>
        <w:rPr>
          <w:rFonts w:ascii="Times New Roman" w:hAnsi="Times New Roman" w:cs="Times New Roman"/>
          <w:lang w:val="en-GB"/>
        </w:rPr>
        <w:t xml:space="preserve"> August</w:t>
      </w:r>
      <w:r w:rsidRPr="00600620">
        <w:rPr>
          <w:rFonts w:ascii="Times New Roman" w:hAnsi="Times New Roman" w:cs="Times New Roman"/>
          <w:lang w:val="en-GB"/>
        </w:rPr>
        <w:t xml:space="preserve"> 2019 </w:t>
      </w:r>
      <w:r>
        <w:rPr>
          <w:rFonts w:ascii="Times New Roman" w:hAnsi="Times New Roman" w:cs="Times New Roman"/>
          <w:lang w:val="en-GB"/>
        </w:rPr>
        <w:t>to</w:t>
      </w:r>
      <w:r w:rsidRPr="00600620">
        <w:rPr>
          <w:rFonts w:ascii="Times New Roman" w:hAnsi="Times New Roman" w:cs="Times New Roman"/>
          <w:lang w:val="en-GB"/>
        </w:rPr>
        <w:t xml:space="preserve"> 1</w:t>
      </w:r>
      <w:r>
        <w:rPr>
          <w:rFonts w:ascii="Times New Roman" w:hAnsi="Times New Roman" w:cs="Times New Roman"/>
          <w:lang w:val="en-GB"/>
        </w:rPr>
        <w:t xml:space="preserve"> November</w:t>
      </w:r>
      <w:r w:rsidRPr="00600620">
        <w:rPr>
          <w:rFonts w:ascii="Times New Roman" w:hAnsi="Times New Roman" w:cs="Times New Roman"/>
          <w:lang w:val="en-GB"/>
        </w:rPr>
        <w:t xml:space="preserve"> 2022</w:t>
      </w:r>
      <w:r>
        <w:rPr>
          <w:rFonts w:ascii="Times New Roman" w:hAnsi="Times New Roman" w:cs="Times New Roman"/>
          <w:lang w:val="en-GB"/>
        </w:rPr>
        <w:t>, the CCRC received</w:t>
      </w:r>
      <w:r w:rsidRPr="00600620">
        <w:rPr>
          <w:rFonts w:ascii="Times New Roman" w:hAnsi="Times New Roman" w:cs="Times New Roman"/>
          <w:lang w:val="en-GB"/>
        </w:rPr>
        <w:t xml:space="preserve"> 4800 </w:t>
      </w:r>
      <w:r>
        <w:rPr>
          <w:rFonts w:ascii="Times New Roman" w:hAnsi="Times New Roman" w:cs="Times New Roman"/>
          <w:lang w:val="en-GB"/>
        </w:rPr>
        <w:t>constitutional complaints relating to second appeal</w:t>
      </w:r>
      <w:r w:rsidRPr="00600620">
        <w:rPr>
          <w:rFonts w:ascii="Times New Roman" w:hAnsi="Times New Roman" w:cs="Times New Roman"/>
          <w:lang w:val="en-GB"/>
        </w:rPr>
        <w:t xml:space="preserve">. </w:t>
      </w:r>
      <w:r>
        <w:rPr>
          <w:rFonts w:ascii="Times New Roman" w:hAnsi="Times New Roman" w:cs="Times New Roman"/>
          <w:lang w:val="en-GB"/>
        </w:rPr>
        <w:t>This figure comprises both appeals permitted</w:t>
      </w:r>
      <w:r w:rsidRPr="00600620">
        <w:rPr>
          <w:rFonts w:ascii="Times New Roman" w:hAnsi="Times New Roman" w:cs="Times New Roman"/>
          <w:lang w:val="en-GB"/>
        </w:rPr>
        <w:t xml:space="preserve"> </w:t>
      </w:r>
      <w:r w:rsidRPr="00600620">
        <w:rPr>
          <w:rFonts w:ascii="Times New Roman" w:hAnsi="Times New Roman" w:cs="Times New Roman"/>
          <w:i/>
          <w:iCs/>
          <w:lang w:val="en-GB"/>
        </w:rPr>
        <w:t>ex lege</w:t>
      </w:r>
      <w:r w:rsidRPr="00600620">
        <w:rPr>
          <w:rFonts w:ascii="Times New Roman" w:hAnsi="Times New Roman" w:cs="Times New Roman"/>
          <w:lang w:val="en-GB"/>
        </w:rPr>
        <w:t xml:space="preserve"> </w:t>
      </w:r>
      <w:r>
        <w:rPr>
          <w:rFonts w:ascii="Times New Roman" w:hAnsi="Times New Roman" w:cs="Times New Roman"/>
          <w:lang w:val="en-GB"/>
        </w:rPr>
        <w:t>and appeals by permission</w:t>
      </w:r>
      <w:bookmarkStart w:id="19" w:name="_Hlk121397163"/>
      <w:r w:rsidRPr="00600620">
        <w:rPr>
          <w:rFonts w:ascii="Times New Roman" w:hAnsi="Times New Roman" w:cs="Times New Roman"/>
          <w:lang w:val="en-GB"/>
        </w:rPr>
        <w:t xml:space="preserve"> (Arlović, 2022).</w:t>
      </w:r>
      <w:bookmarkEnd w:id="19"/>
    </w:p>
  </w:footnote>
  <w:footnote w:id="40">
    <w:p w14:paraId="7FED2C48" w14:textId="53E1B17B" w:rsidR="00A364B0" w:rsidRPr="00600620" w:rsidRDefault="00A364B0" w:rsidP="009B29FF">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Pr>
          <w:rFonts w:ascii="Times New Roman" w:hAnsi="Times New Roman" w:cs="Times New Roman"/>
          <w:lang w:val="en-GB"/>
        </w:rPr>
        <w:t>In this context, one should bear in mind that the CCRC is not i</w:t>
      </w:r>
      <w:r w:rsidR="00143679">
        <w:rPr>
          <w:rFonts w:ascii="Times New Roman" w:hAnsi="Times New Roman" w:cs="Times New Roman"/>
          <w:lang w:val="en-GB"/>
        </w:rPr>
        <w:t>n charge of interpreting laws</w:t>
      </w:r>
      <w:r w:rsidR="00411571">
        <w:rPr>
          <w:rFonts w:ascii="Times New Roman" w:hAnsi="Times New Roman" w:cs="Times New Roman"/>
          <w:lang w:val="en-GB"/>
        </w:rPr>
        <w:t>,</w:t>
      </w:r>
      <w:r w:rsidR="00143679">
        <w:rPr>
          <w:rFonts w:ascii="Times New Roman" w:hAnsi="Times New Roman" w:cs="Times New Roman"/>
          <w:lang w:val="en-GB"/>
        </w:rPr>
        <w:t xml:space="preserve"> which is primarily a task of regular courts</w:t>
      </w:r>
      <w:r w:rsidRPr="00600620">
        <w:rPr>
          <w:rFonts w:ascii="Times New Roman" w:hAnsi="Times New Roman" w:cs="Times New Roman"/>
          <w:lang w:val="en-GB"/>
        </w:rPr>
        <w:t>. T</w:t>
      </w:r>
      <w:r w:rsidR="00143679">
        <w:rPr>
          <w:rFonts w:ascii="Times New Roman" w:hAnsi="Times New Roman" w:cs="Times New Roman"/>
          <w:lang w:val="en-GB"/>
        </w:rPr>
        <w:t>his particularly concerns procedural rules such as requirements for filing legal remedies</w:t>
      </w:r>
      <w:r w:rsidRPr="00600620">
        <w:rPr>
          <w:rFonts w:ascii="Times New Roman" w:hAnsi="Times New Roman" w:cs="Times New Roman"/>
          <w:lang w:val="en-GB"/>
        </w:rPr>
        <w:t>.</w:t>
      </w:r>
      <w:r w:rsidR="00143679">
        <w:rPr>
          <w:rFonts w:ascii="Times New Roman" w:hAnsi="Times New Roman" w:cs="Times New Roman"/>
          <w:lang w:val="en-GB"/>
        </w:rPr>
        <w:t xml:space="preserve"> The basic task of the CCRC is to examine whether the legal effects of interpretation of regular courts </w:t>
      </w:r>
      <w:r w:rsidR="00411571">
        <w:rPr>
          <w:rFonts w:ascii="Times New Roman" w:hAnsi="Times New Roman" w:cs="Times New Roman"/>
          <w:lang w:val="en-GB"/>
        </w:rPr>
        <w:t xml:space="preserve">are </w:t>
      </w:r>
      <w:r w:rsidR="00143679">
        <w:rPr>
          <w:rFonts w:ascii="Times New Roman" w:hAnsi="Times New Roman" w:cs="Times New Roman"/>
          <w:lang w:val="en-GB"/>
        </w:rPr>
        <w:t>compliant with the CRC from the aspect of the protection of human rights and fundamental freedoms</w:t>
      </w:r>
      <w:r w:rsidRPr="00600620">
        <w:rPr>
          <w:rFonts w:ascii="Times New Roman" w:hAnsi="Times New Roman" w:cs="Times New Roman"/>
          <w:lang w:val="en-GB"/>
        </w:rPr>
        <w:t xml:space="preserve">. </w:t>
      </w:r>
      <w:r w:rsidR="00143679">
        <w:rPr>
          <w:rFonts w:ascii="Times New Roman" w:hAnsi="Times New Roman" w:cs="Times New Roman"/>
          <w:lang w:val="en-GB"/>
        </w:rPr>
        <w:t xml:space="preserve">Therefore, in every single case, the CCRC shall consider whether the SCRC </w:t>
      </w:r>
      <w:r w:rsidR="00C83949">
        <w:rPr>
          <w:rFonts w:ascii="Times New Roman" w:hAnsi="Times New Roman" w:cs="Times New Roman"/>
          <w:lang w:val="en-GB"/>
        </w:rPr>
        <w:t xml:space="preserve">has provided the applicant with an appropriate access to court from the perspective of the rule of law </w:t>
      </w:r>
      <w:r w:rsidRPr="00600620">
        <w:rPr>
          <w:rFonts w:ascii="Times New Roman" w:hAnsi="Times New Roman" w:cs="Times New Roman"/>
          <w:lang w:val="en-GB"/>
        </w:rPr>
        <w:t>(Gović Penić, 2022 p 447).</w:t>
      </w:r>
    </w:p>
  </w:footnote>
  <w:footnote w:id="41">
    <w:p w14:paraId="58DA4DE0" w14:textId="65C46E66" w:rsidR="00A364B0" w:rsidRPr="00600620" w:rsidRDefault="00A364B0" w:rsidP="00942969">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00C83949">
        <w:rPr>
          <w:rFonts w:ascii="Times New Roman" w:hAnsi="Times New Roman" w:cs="Times New Roman"/>
          <w:lang w:val="en-GB"/>
        </w:rPr>
        <w:t>Constitutional Act on the Constitutional Court of the Republic of Croatia</w:t>
      </w:r>
      <w:r w:rsidRPr="00600620">
        <w:rPr>
          <w:rFonts w:ascii="Times New Roman" w:hAnsi="Times New Roman" w:cs="Times New Roman"/>
          <w:lang w:val="en-GB"/>
        </w:rPr>
        <w:t xml:space="preserve">, </w:t>
      </w:r>
      <w:r w:rsidR="00C83949">
        <w:rPr>
          <w:rFonts w:ascii="Times New Roman" w:hAnsi="Times New Roman" w:cs="Times New Roman"/>
          <w:lang w:val="en-GB"/>
        </w:rPr>
        <w:t>Official Gazette no</w:t>
      </w:r>
      <w:r w:rsidRPr="00600620">
        <w:rPr>
          <w:rFonts w:ascii="Times New Roman" w:hAnsi="Times New Roman" w:cs="Times New Roman"/>
          <w:lang w:val="en-GB"/>
        </w:rPr>
        <w:t xml:space="preserve">. 99/99, 29/02, 49/02, </w:t>
      </w:r>
      <w:r w:rsidR="00C83949">
        <w:rPr>
          <w:rFonts w:ascii="Times New Roman" w:hAnsi="Times New Roman" w:cs="Times New Roman"/>
          <w:lang w:val="en-GB"/>
        </w:rPr>
        <w:t>hereinafter</w:t>
      </w:r>
      <w:r w:rsidRPr="00600620">
        <w:rPr>
          <w:rFonts w:ascii="Times New Roman" w:hAnsi="Times New Roman" w:cs="Times New Roman"/>
          <w:lang w:val="en-GB"/>
        </w:rPr>
        <w:t>:</w:t>
      </w:r>
      <w:r w:rsidR="00C83949">
        <w:rPr>
          <w:rFonts w:ascii="Times New Roman" w:hAnsi="Times New Roman" w:cs="Times New Roman"/>
          <w:lang w:val="en-GB"/>
        </w:rPr>
        <w:t xml:space="preserve"> CACCRC</w:t>
      </w:r>
      <w:r w:rsidRPr="00600620">
        <w:rPr>
          <w:rFonts w:ascii="Times New Roman" w:hAnsi="Times New Roman" w:cs="Times New Roman"/>
          <w:lang w:val="en-GB"/>
        </w:rPr>
        <w:t>.</w:t>
      </w:r>
    </w:p>
  </w:footnote>
  <w:footnote w:id="42">
    <w:p w14:paraId="740AE245" w14:textId="4C576599" w:rsidR="00A364B0" w:rsidRPr="00600620" w:rsidRDefault="00A364B0" w:rsidP="001B47FC">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00C83949">
        <w:rPr>
          <w:rFonts w:ascii="Times New Roman" w:hAnsi="Times New Roman" w:cs="Times New Roman"/>
          <w:lang w:val="en-GB"/>
        </w:rPr>
        <w:t>Article</w:t>
      </w:r>
      <w:r w:rsidRPr="00600620">
        <w:rPr>
          <w:rFonts w:ascii="Times New Roman" w:hAnsi="Times New Roman" w:cs="Times New Roman"/>
          <w:lang w:val="en-GB"/>
        </w:rPr>
        <w:t xml:space="preserve"> 64</w:t>
      </w:r>
      <w:r w:rsidR="00C83949">
        <w:rPr>
          <w:rFonts w:ascii="Times New Roman" w:hAnsi="Times New Roman" w:cs="Times New Roman"/>
          <w:lang w:val="en-GB"/>
        </w:rPr>
        <w:t xml:space="preserve"> sets forth that a constitutional complaint can be lodged </w:t>
      </w:r>
      <w:r w:rsidR="00C83949" w:rsidRPr="00C83949">
        <w:rPr>
          <w:rFonts w:ascii="Times New Roman" w:hAnsi="Times New Roman" w:cs="Times New Roman"/>
          <w:lang w:val="en-GB"/>
        </w:rPr>
        <w:t>within 30 days after receiving the decision on appeal permission</w:t>
      </w:r>
      <w:r w:rsidRPr="00600620">
        <w:rPr>
          <w:rFonts w:ascii="Times New Roman" w:hAnsi="Times New Roman" w:cs="Times New Roman"/>
          <w:lang w:val="en-GB"/>
        </w:rPr>
        <w:t>.</w:t>
      </w:r>
    </w:p>
  </w:footnote>
  <w:footnote w:id="43">
    <w:p w14:paraId="6D8FA836" w14:textId="6B9A6B86" w:rsidR="00A364B0" w:rsidRPr="00600620" w:rsidRDefault="00A364B0" w:rsidP="000D3FC6">
      <w:pPr>
        <w:pStyle w:val="FootnoteText"/>
        <w:jc w:val="both"/>
        <w:rPr>
          <w:rFonts w:ascii="Times New Roman" w:hAnsi="Times New Roman" w:cs="Times New Roman"/>
          <w:lang w:val="en-GB"/>
        </w:rPr>
      </w:pPr>
      <w:r w:rsidRPr="00600620">
        <w:rPr>
          <w:rStyle w:val="FootnoteReference"/>
          <w:rFonts w:ascii="Times New Roman" w:hAnsi="Times New Roman" w:cs="Times New Roman"/>
          <w:lang w:val="en-GB"/>
        </w:rPr>
        <w:footnoteRef/>
      </w:r>
      <w:r w:rsidRPr="00600620">
        <w:rPr>
          <w:rFonts w:ascii="Times New Roman" w:hAnsi="Times New Roman" w:cs="Times New Roman"/>
          <w:lang w:val="en-GB"/>
        </w:rPr>
        <w:t xml:space="preserve"> </w:t>
      </w:r>
      <w:r w:rsidR="003A6E35">
        <w:rPr>
          <w:rFonts w:ascii="Times New Roman" w:hAnsi="Times New Roman" w:cs="Times New Roman"/>
          <w:lang w:val="en-GB"/>
        </w:rPr>
        <w:t>Constitutional Court of the Republic of Croatia</w:t>
      </w:r>
      <w:r w:rsidRPr="00600620">
        <w:rPr>
          <w:rFonts w:ascii="Times New Roman" w:hAnsi="Times New Roman" w:cs="Times New Roman"/>
          <w:lang w:val="en-GB"/>
        </w:rPr>
        <w:t>, U-III-xxxx/2021 o</w:t>
      </w:r>
      <w:r w:rsidR="003A6E35">
        <w:rPr>
          <w:rFonts w:ascii="Times New Roman" w:hAnsi="Times New Roman" w:cs="Times New Roman"/>
          <w:lang w:val="en-GB"/>
        </w:rPr>
        <w:t>f</w:t>
      </w:r>
      <w:r w:rsidRPr="00600620">
        <w:rPr>
          <w:rFonts w:ascii="Times New Roman" w:hAnsi="Times New Roman" w:cs="Times New Roman"/>
          <w:lang w:val="en-GB"/>
        </w:rPr>
        <w:t xml:space="preserve"> 1</w:t>
      </w:r>
      <w:r w:rsidR="003A6E35">
        <w:rPr>
          <w:rFonts w:ascii="Times New Roman" w:hAnsi="Times New Roman" w:cs="Times New Roman"/>
          <w:lang w:val="en-GB"/>
        </w:rPr>
        <w:t xml:space="preserve"> June</w:t>
      </w:r>
      <w:r w:rsidRPr="00600620">
        <w:rPr>
          <w:rFonts w:ascii="Times New Roman" w:hAnsi="Times New Roman" w:cs="Times New Roman"/>
          <w:lang w:val="en-GB"/>
        </w:rPr>
        <w:t xml:space="preserve"> 2021.</w:t>
      </w:r>
    </w:p>
  </w:footnote>
  <w:footnote w:id="44">
    <w:p w14:paraId="08077BBD" w14:textId="0291748F" w:rsidR="00A364B0" w:rsidRPr="00600620" w:rsidRDefault="00A364B0" w:rsidP="00B32D8E">
      <w:pPr>
        <w:pStyle w:val="FootnoteText"/>
        <w:jc w:val="both"/>
        <w:rPr>
          <w:lang w:val="en-GB"/>
        </w:rPr>
      </w:pPr>
      <w:r w:rsidRPr="00600620">
        <w:rPr>
          <w:rStyle w:val="FootnoteReference"/>
          <w:lang w:val="en-GB"/>
        </w:rPr>
        <w:footnoteRef/>
      </w:r>
      <w:bookmarkStart w:id="21" w:name="_Hlk136980538"/>
      <w:r w:rsidRPr="00600620">
        <w:rPr>
          <w:lang w:val="en-GB"/>
        </w:rPr>
        <w:t>E</w:t>
      </w:r>
      <w:r w:rsidRPr="00600620">
        <w:rPr>
          <w:rFonts w:ascii="Times New Roman" w:hAnsi="Times New Roman" w:cs="Times New Roman"/>
          <w:lang w:val="en-GB"/>
        </w:rPr>
        <w:t>urop</w:t>
      </w:r>
      <w:r w:rsidR="003A6E35">
        <w:rPr>
          <w:rFonts w:ascii="Times New Roman" w:hAnsi="Times New Roman" w:cs="Times New Roman"/>
          <w:lang w:val="en-GB"/>
        </w:rPr>
        <w:t>e Convention on Human Rights (former European Convention for the Protection of Human Rights and Fundamental Freedoms</w:t>
      </w:r>
      <w:bookmarkEnd w:id="21"/>
      <w:r w:rsidR="00F811D6">
        <w:rPr>
          <w:rFonts w:ascii="Times New Roman" w:hAnsi="Times New Roman" w:cs="Times New Roman"/>
          <w:lang w:val="en-GB"/>
        </w:rPr>
        <w:t>)</w:t>
      </w:r>
      <w:r w:rsidRPr="00600620">
        <w:rPr>
          <w:rFonts w:ascii="Times New Roman" w:hAnsi="Times New Roman" w:cs="Times New Roman"/>
          <w:lang w:val="en-GB"/>
        </w:rPr>
        <w:t xml:space="preserve">, </w:t>
      </w:r>
      <w:r w:rsidR="003A6E35">
        <w:rPr>
          <w:rFonts w:ascii="Times New Roman" w:hAnsi="Times New Roman" w:cs="Times New Roman"/>
          <w:lang w:val="en-GB"/>
        </w:rPr>
        <w:t>Official Gazette, International Treaties no</w:t>
      </w:r>
      <w:r w:rsidRPr="00600620">
        <w:rPr>
          <w:rFonts w:ascii="Times New Roman" w:hAnsi="Times New Roman" w:cs="Times New Roman"/>
          <w:lang w:val="en-GB"/>
        </w:rPr>
        <w:t xml:space="preserve">. 8/97, 6/99, 14/02, 13/03, 9/05, 1/06, 2/10, 13/17, </w:t>
      </w:r>
      <w:r w:rsidR="003A6E35">
        <w:rPr>
          <w:rFonts w:ascii="Times New Roman" w:hAnsi="Times New Roman" w:cs="Times New Roman"/>
          <w:lang w:val="en-GB"/>
        </w:rPr>
        <w:t>hereinafter</w:t>
      </w:r>
      <w:r w:rsidRPr="00600620">
        <w:rPr>
          <w:rFonts w:ascii="Times New Roman" w:hAnsi="Times New Roman" w:cs="Times New Roman"/>
          <w:lang w:val="en-GB"/>
        </w:rPr>
        <w:t>: E</w:t>
      </w:r>
      <w:r w:rsidR="003A6E35">
        <w:rPr>
          <w:rFonts w:ascii="Times New Roman" w:hAnsi="Times New Roman" w:cs="Times New Roman"/>
          <w:lang w:val="en-GB"/>
        </w:rPr>
        <w:t>CHR</w:t>
      </w:r>
      <w:r w:rsidRPr="00600620">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B340" w14:textId="77777777" w:rsidR="00A364B0" w:rsidRDefault="00A36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5E9D" w14:textId="77777777" w:rsidR="00A364B0" w:rsidRDefault="00A364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0F22" w14:textId="77777777" w:rsidR="00A364B0" w:rsidRDefault="00A36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4ECC"/>
    <w:multiLevelType w:val="hybridMultilevel"/>
    <w:tmpl w:val="71B0CB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78A4B77"/>
    <w:multiLevelType w:val="hybridMultilevel"/>
    <w:tmpl w:val="E384FB7A"/>
    <w:lvl w:ilvl="0" w:tplc="E6945B9C">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804D3D"/>
    <w:multiLevelType w:val="multilevel"/>
    <w:tmpl w:val="00505F86"/>
    <w:styleLink w:val="Trenutnipopis1"/>
    <w:lvl w:ilvl="0">
      <w:start w:val="1"/>
      <w:numFmt w:val="decimal"/>
      <w:lvlText w:val="%1."/>
      <w:lvlJc w:val="left"/>
      <w:pPr>
        <w:ind w:left="1446" w:hanging="360"/>
      </w:pPr>
    </w:lvl>
    <w:lvl w:ilvl="1">
      <w:start w:val="1"/>
      <w:numFmt w:val="decimal"/>
      <w:isLgl/>
      <w:lvlText w:val="%1.%2."/>
      <w:lvlJc w:val="left"/>
      <w:pPr>
        <w:ind w:left="2220" w:hanging="360"/>
      </w:pPr>
    </w:lvl>
    <w:lvl w:ilvl="2">
      <w:start w:val="1"/>
      <w:numFmt w:val="decimal"/>
      <w:isLgl/>
      <w:lvlText w:val="%1.%2.%3."/>
      <w:lvlJc w:val="left"/>
      <w:pPr>
        <w:ind w:left="1806" w:hanging="720"/>
      </w:pPr>
    </w:lvl>
    <w:lvl w:ilvl="3">
      <w:start w:val="1"/>
      <w:numFmt w:val="decimal"/>
      <w:isLgl/>
      <w:lvlText w:val="%1.%2.%3.%4."/>
      <w:lvlJc w:val="left"/>
      <w:pPr>
        <w:ind w:left="1806" w:hanging="720"/>
      </w:pPr>
    </w:lvl>
    <w:lvl w:ilvl="4">
      <w:start w:val="1"/>
      <w:numFmt w:val="decimal"/>
      <w:isLgl/>
      <w:lvlText w:val="%1.%2.%3.%4.%5."/>
      <w:lvlJc w:val="left"/>
      <w:pPr>
        <w:ind w:left="2166" w:hanging="1080"/>
      </w:pPr>
    </w:lvl>
    <w:lvl w:ilvl="5">
      <w:start w:val="1"/>
      <w:numFmt w:val="decimal"/>
      <w:isLgl/>
      <w:lvlText w:val="%1.%2.%3.%4.%5.%6."/>
      <w:lvlJc w:val="left"/>
      <w:pPr>
        <w:ind w:left="2166" w:hanging="1080"/>
      </w:pPr>
    </w:lvl>
    <w:lvl w:ilvl="6">
      <w:start w:val="1"/>
      <w:numFmt w:val="decimal"/>
      <w:isLgl/>
      <w:lvlText w:val="%1.%2.%3.%4.%5.%6.%7."/>
      <w:lvlJc w:val="left"/>
      <w:pPr>
        <w:ind w:left="2526" w:hanging="1440"/>
      </w:pPr>
    </w:lvl>
    <w:lvl w:ilvl="7">
      <w:start w:val="1"/>
      <w:numFmt w:val="decimal"/>
      <w:isLgl/>
      <w:lvlText w:val="%1.%2.%3.%4.%5.%6.%7.%8."/>
      <w:lvlJc w:val="left"/>
      <w:pPr>
        <w:ind w:left="2526" w:hanging="1440"/>
      </w:pPr>
    </w:lvl>
    <w:lvl w:ilvl="8">
      <w:start w:val="1"/>
      <w:numFmt w:val="decimal"/>
      <w:isLgl/>
      <w:lvlText w:val="%1.%2.%3.%4.%5.%6.%7.%8.%9."/>
      <w:lvlJc w:val="left"/>
      <w:pPr>
        <w:ind w:left="2886" w:hanging="1800"/>
      </w:pPr>
    </w:lvl>
  </w:abstractNum>
  <w:abstractNum w:abstractNumId="3" w15:restartNumberingAfterBreak="0">
    <w:nsid w:val="4A741A3F"/>
    <w:multiLevelType w:val="hybridMultilevel"/>
    <w:tmpl w:val="E69A5256"/>
    <w:lvl w:ilvl="0" w:tplc="FCD4F2A2">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57912DD2"/>
    <w:multiLevelType w:val="hybridMultilevel"/>
    <w:tmpl w:val="9438BE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9221D0"/>
    <w:multiLevelType w:val="hybridMultilevel"/>
    <w:tmpl w:val="D03AEA2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D850FB7"/>
    <w:multiLevelType w:val="multilevel"/>
    <w:tmpl w:val="00505F86"/>
    <w:lvl w:ilvl="0">
      <w:start w:val="1"/>
      <w:numFmt w:val="decimal"/>
      <w:lvlText w:val="%1."/>
      <w:lvlJc w:val="left"/>
      <w:pPr>
        <w:ind w:left="1446" w:hanging="360"/>
      </w:pPr>
    </w:lvl>
    <w:lvl w:ilvl="1">
      <w:start w:val="1"/>
      <w:numFmt w:val="decimal"/>
      <w:isLgl/>
      <w:lvlText w:val="%1.%2."/>
      <w:lvlJc w:val="left"/>
      <w:pPr>
        <w:ind w:left="2220" w:hanging="360"/>
      </w:pPr>
    </w:lvl>
    <w:lvl w:ilvl="2">
      <w:start w:val="1"/>
      <w:numFmt w:val="decimal"/>
      <w:isLgl/>
      <w:lvlText w:val="%1.%2.%3."/>
      <w:lvlJc w:val="left"/>
      <w:pPr>
        <w:ind w:left="1806" w:hanging="720"/>
      </w:pPr>
    </w:lvl>
    <w:lvl w:ilvl="3">
      <w:start w:val="1"/>
      <w:numFmt w:val="decimal"/>
      <w:isLgl/>
      <w:lvlText w:val="%1.%2.%3.%4."/>
      <w:lvlJc w:val="left"/>
      <w:pPr>
        <w:ind w:left="1806" w:hanging="720"/>
      </w:pPr>
    </w:lvl>
    <w:lvl w:ilvl="4">
      <w:start w:val="1"/>
      <w:numFmt w:val="decimal"/>
      <w:isLgl/>
      <w:lvlText w:val="%1.%2.%3.%4.%5."/>
      <w:lvlJc w:val="left"/>
      <w:pPr>
        <w:ind w:left="2166" w:hanging="1080"/>
      </w:pPr>
    </w:lvl>
    <w:lvl w:ilvl="5">
      <w:start w:val="1"/>
      <w:numFmt w:val="decimal"/>
      <w:isLgl/>
      <w:lvlText w:val="%1.%2.%3.%4.%5.%6."/>
      <w:lvlJc w:val="left"/>
      <w:pPr>
        <w:ind w:left="2166" w:hanging="1080"/>
      </w:pPr>
    </w:lvl>
    <w:lvl w:ilvl="6">
      <w:start w:val="1"/>
      <w:numFmt w:val="decimal"/>
      <w:isLgl/>
      <w:lvlText w:val="%1.%2.%3.%4.%5.%6.%7."/>
      <w:lvlJc w:val="left"/>
      <w:pPr>
        <w:ind w:left="2526" w:hanging="1440"/>
      </w:pPr>
    </w:lvl>
    <w:lvl w:ilvl="7">
      <w:start w:val="1"/>
      <w:numFmt w:val="decimal"/>
      <w:isLgl/>
      <w:lvlText w:val="%1.%2.%3.%4.%5.%6.%7.%8."/>
      <w:lvlJc w:val="left"/>
      <w:pPr>
        <w:ind w:left="2526" w:hanging="1440"/>
      </w:pPr>
    </w:lvl>
    <w:lvl w:ilvl="8">
      <w:start w:val="1"/>
      <w:numFmt w:val="decimal"/>
      <w:isLgl/>
      <w:lvlText w:val="%1.%2.%3.%4.%5.%6.%7.%8.%9."/>
      <w:lvlJc w:val="left"/>
      <w:pPr>
        <w:ind w:left="2886" w:hanging="1800"/>
      </w:pPr>
    </w:lvl>
  </w:abstractNum>
  <w:abstractNum w:abstractNumId="7" w15:restartNumberingAfterBreak="0">
    <w:nsid w:val="6A0E69EA"/>
    <w:multiLevelType w:val="hybridMultilevel"/>
    <w:tmpl w:val="F95013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C8449E"/>
    <w:multiLevelType w:val="hybridMultilevel"/>
    <w:tmpl w:val="1F3482B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30565DA"/>
    <w:multiLevelType w:val="hybridMultilevel"/>
    <w:tmpl w:val="36C46B2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4593CF1"/>
    <w:multiLevelType w:val="hybridMultilevel"/>
    <w:tmpl w:val="D4B00A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7"/>
  </w:num>
  <w:num w:numId="5">
    <w:abstractNumId w:val="2"/>
  </w:num>
  <w:num w:numId="6">
    <w:abstractNumId w:val="3"/>
  </w:num>
  <w:num w:numId="7">
    <w:abstractNumId w:val="1"/>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26"/>
    <w:rsid w:val="00000AB7"/>
    <w:rsid w:val="00026E36"/>
    <w:rsid w:val="00031278"/>
    <w:rsid w:val="0003232A"/>
    <w:rsid w:val="00055D30"/>
    <w:rsid w:val="0006612F"/>
    <w:rsid w:val="00066BAB"/>
    <w:rsid w:val="00066E72"/>
    <w:rsid w:val="00071C0A"/>
    <w:rsid w:val="00081558"/>
    <w:rsid w:val="00083A42"/>
    <w:rsid w:val="00090BE9"/>
    <w:rsid w:val="00096970"/>
    <w:rsid w:val="000A3BD9"/>
    <w:rsid w:val="000B5F46"/>
    <w:rsid w:val="000C0475"/>
    <w:rsid w:val="000C3219"/>
    <w:rsid w:val="000C3F7A"/>
    <w:rsid w:val="000C44E5"/>
    <w:rsid w:val="000D3FC6"/>
    <w:rsid w:val="000D4DA8"/>
    <w:rsid w:val="000E2A7E"/>
    <w:rsid w:val="001026F6"/>
    <w:rsid w:val="001029F2"/>
    <w:rsid w:val="00102BFC"/>
    <w:rsid w:val="00104B0A"/>
    <w:rsid w:val="00111074"/>
    <w:rsid w:val="00115D7C"/>
    <w:rsid w:val="001243AB"/>
    <w:rsid w:val="0013748A"/>
    <w:rsid w:val="00140342"/>
    <w:rsid w:val="00143679"/>
    <w:rsid w:val="0014395F"/>
    <w:rsid w:val="00143AEF"/>
    <w:rsid w:val="00143E52"/>
    <w:rsid w:val="001466B3"/>
    <w:rsid w:val="00147ABA"/>
    <w:rsid w:val="00164E9F"/>
    <w:rsid w:val="00165824"/>
    <w:rsid w:val="00180921"/>
    <w:rsid w:val="00181779"/>
    <w:rsid w:val="001849E0"/>
    <w:rsid w:val="001A4189"/>
    <w:rsid w:val="001A535E"/>
    <w:rsid w:val="001B0642"/>
    <w:rsid w:val="001B47FC"/>
    <w:rsid w:val="001C4D2D"/>
    <w:rsid w:val="001D7EB1"/>
    <w:rsid w:val="001E1097"/>
    <w:rsid w:val="001E2BCB"/>
    <w:rsid w:val="001E6B8E"/>
    <w:rsid w:val="001E7A2C"/>
    <w:rsid w:val="001F3E85"/>
    <w:rsid w:val="001F420D"/>
    <w:rsid w:val="001F5050"/>
    <w:rsid w:val="001F51E3"/>
    <w:rsid w:val="002134D0"/>
    <w:rsid w:val="002347A5"/>
    <w:rsid w:val="00246CFF"/>
    <w:rsid w:val="002474A0"/>
    <w:rsid w:val="002564C4"/>
    <w:rsid w:val="0026107A"/>
    <w:rsid w:val="002645CD"/>
    <w:rsid w:val="00264F5E"/>
    <w:rsid w:val="002656EE"/>
    <w:rsid w:val="002663EF"/>
    <w:rsid w:val="00266E9C"/>
    <w:rsid w:val="00270C9D"/>
    <w:rsid w:val="00271398"/>
    <w:rsid w:val="00272674"/>
    <w:rsid w:val="0027400F"/>
    <w:rsid w:val="002858B2"/>
    <w:rsid w:val="0029318D"/>
    <w:rsid w:val="00294EED"/>
    <w:rsid w:val="0029655F"/>
    <w:rsid w:val="00296562"/>
    <w:rsid w:val="002B01DD"/>
    <w:rsid w:val="002B7568"/>
    <w:rsid w:val="002C00B3"/>
    <w:rsid w:val="002D4027"/>
    <w:rsid w:val="002F77B5"/>
    <w:rsid w:val="00302B8F"/>
    <w:rsid w:val="00310EE1"/>
    <w:rsid w:val="00316916"/>
    <w:rsid w:val="00320DAF"/>
    <w:rsid w:val="00332FFB"/>
    <w:rsid w:val="0033763D"/>
    <w:rsid w:val="00340100"/>
    <w:rsid w:val="00343F8D"/>
    <w:rsid w:val="003540DF"/>
    <w:rsid w:val="003822A7"/>
    <w:rsid w:val="0038558A"/>
    <w:rsid w:val="00391C83"/>
    <w:rsid w:val="00394E0A"/>
    <w:rsid w:val="003A6E35"/>
    <w:rsid w:val="003A720F"/>
    <w:rsid w:val="003B1087"/>
    <w:rsid w:val="003B18F4"/>
    <w:rsid w:val="003B4925"/>
    <w:rsid w:val="003B5FCB"/>
    <w:rsid w:val="003B6968"/>
    <w:rsid w:val="003C0A87"/>
    <w:rsid w:val="003C1CFF"/>
    <w:rsid w:val="003C4199"/>
    <w:rsid w:val="003C5D89"/>
    <w:rsid w:val="003E0931"/>
    <w:rsid w:val="003E41A0"/>
    <w:rsid w:val="003F14A1"/>
    <w:rsid w:val="00401FF5"/>
    <w:rsid w:val="004059F2"/>
    <w:rsid w:val="00411571"/>
    <w:rsid w:val="00413A44"/>
    <w:rsid w:val="004168F2"/>
    <w:rsid w:val="00417FD6"/>
    <w:rsid w:val="00423946"/>
    <w:rsid w:val="00430A70"/>
    <w:rsid w:val="00433A24"/>
    <w:rsid w:val="004355FD"/>
    <w:rsid w:val="00436B4B"/>
    <w:rsid w:val="004377B6"/>
    <w:rsid w:val="004510F6"/>
    <w:rsid w:val="004513C0"/>
    <w:rsid w:val="00461972"/>
    <w:rsid w:val="00462A2E"/>
    <w:rsid w:val="0046393E"/>
    <w:rsid w:val="004717DC"/>
    <w:rsid w:val="004718A3"/>
    <w:rsid w:val="00484798"/>
    <w:rsid w:val="00487DD5"/>
    <w:rsid w:val="004A1810"/>
    <w:rsid w:val="004A5142"/>
    <w:rsid w:val="004B4782"/>
    <w:rsid w:val="004B5CC9"/>
    <w:rsid w:val="004C08A9"/>
    <w:rsid w:val="004C38EB"/>
    <w:rsid w:val="004D6331"/>
    <w:rsid w:val="004E1D3E"/>
    <w:rsid w:val="004E5967"/>
    <w:rsid w:val="00504446"/>
    <w:rsid w:val="00511D3E"/>
    <w:rsid w:val="00513200"/>
    <w:rsid w:val="005416F6"/>
    <w:rsid w:val="00541FAF"/>
    <w:rsid w:val="00543B94"/>
    <w:rsid w:val="00545FA0"/>
    <w:rsid w:val="0055338A"/>
    <w:rsid w:val="005702B8"/>
    <w:rsid w:val="0057539A"/>
    <w:rsid w:val="005866AD"/>
    <w:rsid w:val="005A6310"/>
    <w:rsid w:val="005B0F19"/>
    <w:rsid w:val="005B391B"/>
    <w:rsid w:val="005B710E"/>
    <w:rsid w:val="005C0483"/>
    <w:rsid w:val="005C5959"/>
    <w:rsid w:val="005D35C2"/>
    <w:rsid w:val="005E1FE9"/>
    <w:rsid w:val="005E3B09"/>
    <w:rsid w:val="005F569A"/>
    <w:rsid w:val="005F6E4B"/>
    <w:rsid w:val="00600620"/>
    <w:rsid w:val="006030BD"/>
    <w:rsid w:val="006134D5"/>
    <w:rsid w:val="0062191F"/>
    <w:rsid w:val="0062536E"/>
    <w:rsid w:val="006268D2"/>
    <w:rsid w:val="00633C02"/>
    <w:rsid w:val="0063452B"/>
    <w:rsid w:val="00636063"/>
    <w:rsid w:val="00636B23"/>
    <w:rsid w:val="006462FC"/>
    <w:rsid w:val="006508DB"/>
    <w:rsid w:val="0065714E"/>
    <w:rsid w:val="00662BF2"/>
    <w:rsid w:val="00667F7D"/>
    <w:rsid w:val="00670279"/>
    <w:rsid w:val="00684D6F"/>
    <w:rsid w:val="0069041A"/>
    <w:rsid w:val="006978A4"/>
    <w:rsid w:val="006A78AC"/>
    <w:rsid w:val="006C333A"/>
    <w:rsid w:val="006D02E5"/>
    <w:rsid w:val="006D12DE"/>
    <w:rsid w:val="006D384B"/>
    <w:rsid w:val="006D52F1"/>
    <w:rsid w:val="006F766A"/>
    <w:rsid w:val="00704517"/>
    <w:rsid w:val="00716546"/>
    <w:rsid w:val="00722B43"/>
    <w:rsid w:val="0074734F"/>
    <w:rsid w:val="007478D0"/>
    <w:rsid w:val="00751B0A"/>
    <w:rsid w:val="00757A0C"/>
    <w:rsid w:val="0076207B"/>
    <w:rsid w:val="00770CBC"/>
    <w:rsid w:val="00777C56"/>
    <w:rsid w:val="007A4961"/>
    <w:rsid w:val="007B6A54"/>
    <w:rsid w:val="007C2EC6"/>
    <w:rsid w:val="007D5425"/>
    <w:rsid w:val="007E575F"/>
    <w:rsid w:val="007E5A7C"/>
    <w:rsid w:val="007F2DDF"/>
    <w:rsid w:val="007F4361"/>
    <w:rsid w:val="007F61A6"/>
    <w:rsid w:val="0081488A"/>
    <w:rsid w:val="00815A20"/>
    <w:rsid w:val="00825E6E"/>
    <w:rsid w:val="008262A4"/>
    <w:rsid w:val="008262EA"/>
    <w:rsid w:val="00827B39"/>
    <w:rsid w:val="00830DD0"/>
    <w:rsid w:val="00832F85"/>
    <w:rsid w:val="0083443F"/>
    <w:rsid w:val="008538D9"/>
    <w:rsid w:val="008568DC"/>
    <w:rsid w:val="0085694D"/>
    <w:rsid w:val="008671D0"/>
    <w:rsid w:val="0087148B"/>
    <w:rsid w:val="00881B76"/>
    <w:rsid w:val="0088328B"/>
    <w:rsid w:val="008B1657"/>
    <w:rsid w:val="008B5198"/>
    <w:rsid w:val="008B5732"/>
    <w:rsid w:val="008B7A43"/>
    <w:rsid w:val="008C4194"/>
    <w:rsid w:val="008E3FAC"/>
    <w:rsid w:val="008E6217"/>
    <w:rsid w:val="008F2071"/>
    <w:rsid w:val="008F3A91"/>
    <w:rsid w:val="00901AB0"/>
    <w:rsid w:val="00905841"/>
    <w:rsid w:val="00916DAB"/>
    <w:rsid w:val="009170B3"/>
    <w:rsid w:val="009374EE"/>
    <w:rsid w:val="00937B52"/>
    <w:rsid w:val="009413C9"/>
    <w:rsid w:val="00942969"/>
    <w:rsid w:val="00950C56"/>
    <w:rsid w:val="009575F4"/>
    <w:rsid w:val="009728B3"/>
    <w:rsid w:val="00977616"/>
    <w:rsid w:val="0098273D"/>
    <w:rsid w:val="009940BA"/>
    <w:rsid w:val="009A0EB2"/>
    <w:rsid w:val="009A6379"/>
    <w:rsid w:val="009A7993"/>
    <w:rsid w:val="009B29FF"/>
    <w:rsid w:val="009B5885"/>
    <w:rsid w:val="009B6EB3"/>
    <w:rsid w:val="009B7574"/>
    <w:rsid w:val="009B7E4C"/>
    <w:rsid w:val="009C7A51"/>
    <w:rsid w:val="009E1EA1"/>
    <w:rsid w:val="009E528D"/>
    <w:rsid w:val="009E5B99"/>
    <w:rsid w:val="009F6F60"/>
    <w:rsid w:val="009F7B55"/>
    <w:rsid w:val="00A0206E"/>
    <w:rsid w:val="00A02AF6"/>
    <w:rsid w:val="00A04959"/>
    <w:rsid w:val="00A0697B"/>
    <w:rsid w:val="00A070C0"/>
    <w:rsid w:val="00A153EC"/>
    <w:rsid w:val="00A24CE9"/>
    <w:rsid w:val="00A26BDA"/>
    <w:rsid w:val="00A32119"/>
    <w:rsid w:val="00A33F12"/>
    <w:rsid w:val="00A364B0"/>
    <w:rsid w:val="00A36F12"/>
    <w:rsid w:val="00A37C35"/>
    <w:rsid w:val="00A41707"/>
    <w:rsid w:val="00A42B8D"/>
    <w:rsid w:val="00A42CAF"/>
    <w:rsid w:val="00A43A41"/>
    <w:rsid w:val="00A651E0"/>
    <w:rsid w:val="00A86CD6"/>
    <w:rsid w:val="00A877AC"/>
    <w:rsid w:val="00A926A3"/>
    <w:rsid w:val="00A93E19"/>
    <w:rsid w:val="00AA4C72"/>
    <w:rsid w:val="00AA6705"/>
    <w:rsid w:val="00AB3C77"/>
    <w:rsid w:val="00AB3EF6"/>
    <w:rsid w:val="00AB41CE"/>
    <w:rsid w:val="00AB5D4C"/>
    <w:rsid w:val="00AC50CF"/>
    <w:rsid w:val="00AC6442"/>
    <w:rsid w:val="00AD1E0C"/>
    <w:rsid w:val="00B0034E"/>
    <w:rsid w:val="00B0720A"/>
    <w:rsid w:val="00B221F6"/>
    <w:rsid w:val="00B27B33"/>
    <w:rsid w:val="00B31348"/>
    <w:rsid w:val="00B3181A"/>
    <w:rsid w:val="00B32D8E"/>
    <w:rsid w:val="00B413C2"/>
    <w:rsid w:val="00B46698"/>
    <w:rsid w:val="00B540FF"/>
    <w:rsid w:val="00B70A02"/>
    <w:rsid w:val="00B72926"/>
    <w:rsid w:val="00B855FE"/>
    <w:rsid w:val="00B857BE"/>
    <w:rsid w:val="00B966E2"/>
    <w:rsid w:val="00B97DE8"/>
    <w:rsid w:val="00BB101D"/>
    <w:rsid w:val="00BB4E97"/>
    <w:rsid w:val="00BC0091"/>
    <w:rsid w:val="00BC2100"/>
    <w:rsid w:val="00BC5644"/>
    <w:rsid w:val="00BD57EE"/>
    <w:rsid w:val="00BD6962"/>
    <w:rsid w:val="00BE3CC1"/>
    <w:rsid w:val="00BE4704"/>
    <w:rsid w:val="00BF13D3"/>
    <w:rsid w:val="00BF7046"/>
    <w:rsid w:val="00C1015C"/>
    <w:rsid w:val="00C16C7F"/>
    <w:rsid w:val="00C20000"/>
    <w:rsid w:val="00C513A9"/>
    <w:rsid w:val="00C67A71"/>
    <w:rsid w:val="00C75121"/>
    <w:rsid w:val="00C819BB"/>
    <w:rsid w:val="00C83949"/>
    <w:rsid w:val="00C93B92"/>
    <w:rsid w:val="00C961BD"/>
    <w:rsid w:val="00CA148D"/>
    <w:rsid w:val="00CA69F9"/>
    <w:rsid w:val="00CB2A41"/>
    <w:rsid w:val="00CB5900"/>
    <w:rsid w:val="00CC0E03"/>
    <w:rsid w:val="00CC5029"/>
    <w:rsid w:val="00CD59B6"/>
    <w:rsid w:val="00CD77F9"/>
    <w:rsid w:val="00CF5E0D"/>
    <w:rsid w:val="00D01DE2"/>
    <w:rsid w:val="00D15835"/>
    <w:rsid w:val="00D32B85"/>
    <w:rsid w:val="00D459D9"/>
    <w:rsid w:val="00D528E3"/>
    <w:rsid w:val="00D53A3E"/>
    <w:rsid w:val="00D56FD5"/>
    <w:rsid w:val="00D65E14"/>
    <w:rsid w:val="00D67316"/>
    <w:rsid w:val="00D80898"/>
    <w:rsid w:val="00D84C63"/>
    <w:rsid w:val="00D85532"/>
    <w:rsid w:val="00D855C5"/>
    <w:rsid w:val="00D91E56"/>
    <w:rsid w:val="00D93B54"/>
    <w:rsid w:val="00D940D8"/>
    <w:rsid w:val="00DA1DF4"/>
    <w:rsid w:val="00DC0234"/>
    <w:rsid w:val="00DC15F8"/>
    <w:rsid w:val="00DC1D71"/>
    <w:rsid w:val="00DC29CC"/>
    <w:rsid w:val="00DC3AA9"/>
    <w:rsid w:val="00DC3BCB"/>
    <w:rsid w:val="00DD1B24"/>
    <w:rsid w:val="00DD5793"/>
    <w:rsid w:val="00DD641E"/>
    <w:rsid w:val="00DE0A9F"/>
    <w:rsid w:val="00DE4027"/>
    <w:rsid w:val="00DE4FD3"/>
    <w:rsid w:val="00DE78CF"/>
    <w:rsid w:val="00DF531C"/>
    <w:rsid w:val="00E0139E"/>
    <w:rsid w:val="00E3237C"/>
    <w:rsid w:val="00E37BD1"/>
    <w:rsid w:val="00E37CA1"/>
    <w:rsid w:val="00E40EA7"/>
    <w:rsid w:val="00E40EBA"/>
    <w:rsid w:val="00E44947"/>
    <w:rsid w:val="00E50AE1"/>
    <w:rsid w:val="00E51503"/>
    <w:rsid w:val="00E6383F"/>
    <w:rsid w:val="00E64DC0"/>
    <w:rsid w:val="00E65593"/>
    <w:rsid w:val="00E743E6"/>
    <w:rsid w:val="00E7748C"/>
    <w:rsid w:val="00EA418F"/>
    <w:rsid w:val="00EA57FA"/>
    <w:rsid w:val="00EA72AD"/>
    <w:rsid w:val="00EB60FB"/>
    <w:rsid w:val="00EB6E93"/>
    <w:rsid w:val="00EC22ED"/>
    <w:rsid w:val="00EC75C8"/>
    <w:rsid w:val="00EE5EF6"/>
    <w:rsid w:val="00EF32A5"/>
    <w:rsid w:val="00EF3BF3"/>
    <w:rsid w:val="00EF4B86"/>
    <w:rsid w:val="00EF6335"/>
    <w:rsid w:val="00F004B2"/>
    <w:rsid w:val="00F0496D"/>
    <w:rsid w:val="00F10E3A"/>
    <w:rsid w:val="00F170A4"/>
    <w:rsid w:val="00F3282A"/>
    <w:rsid w:val="00F35257"/>
    <w:rsid w:val="00F42C98"/>
    <w:rsid w:val="00F432C2"/>
    <w:rsid w:val="00F433E2"/>
    <w:rsid w:val="00F43AC0"/>
    <w:rsid w:val="00F44833"/>
    <w:rsid w:val="00F712E5"/>
    <w:rsid w:val="00F7213E"/>
    <w:rsid w:val="00F72792"/>
    <w:rsid w:val="00F7654B"/>
    <w:rsid w:val="00F769E0"/>
    <w:rsid w:val="00F76EDD"/>
    <w:rsid w:val="00F811D6"/>
    <w:rsid w:val="00F861B8"/>
    <w:rsid w:val="00F90DBE"/>
    <w:rsid w:val="00FA20FA"/>
    <w:rsid w:val="00FB1634"/>
    <w:rsid w:val="00FB27A3"/>
    <w:rsid w:val="00FD2D43"/>
    <w:rsid w:val="00FD4B26"/>
    <w:rsid w:val="00FE2CF2"/>
    <w:rsid w:val="00FE35A2"/>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3EE"/>
  <w15:chartTrackingRefBased/>
  <w15:docId w15:val="{76D095C2-BB41-4E86-B095-6640AD20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2926"/>
    <w:pPr>
      <w:spacing w:line="256" w:lineRule="auto"/>
    </w:pPr>
    <w:rPr>
      <w:lang w:val="hr-HR"/>
    </w:rPr>
  </w:style>
  <w:style w:type="paragraph" w:styleId="Heading3">
    <w:name w:val="heading 3"/>
    <w:basedOn w:val="Normal"/>
    <w:next w:val="Normal"/>
    <w:link w:val="Heading3Char"/>
    <w:uiPriority w:val="9"/>
    <w:unhideWhenUsed/>
    <w:qFormat/>
    <w:rsid w:val="00905841"/>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926"/>
    <w:rPr>
      <w:color w:val="0563C1" w:themeColor="hyperlink"/>
      <w:u w:val="single"/>
    </w:rPr>
  </w:style>
  <w:style w:type="paragraph" w:styleId="FootnoteText">
    <w:name w:val="footnote text"/>
    <w:basedOn w:val="Normal"/>
    <w:link w:val="FootnoteTextChar"/>
    <w:uiPriority w:val="99"/>
    <w:semiHidden/>
    <w:unhideWhenUsed/>
    <w:rsid w:val="00B729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926"/>
    <w:rPr>
      <w:sz w:val="20"/>
      <w:szCs w:val="20"/>
      <w:lang w:val="hr-HR"/>
    </w:rPr>
  </w:style>
  <w:style w:type="character" w:styleId="FootnoteReference">
    <w:name w:val="footnote reference"/>
    <w:basedOn w:val="DefaultParagraphFont"/>
    <w:uiPriority w:val="99"/>
    <w:semiHidden/>
    <w:unhideWhenUsed/>
    <w:rsid w:val="00B72926"/>
    <w:rPr>
      <w:vertAlign w:val="superscript"/>
    </w:rPr>
  </w:style>
  <w:style w:type="character" w:customStyle="1" w:styleId="Heading3Char">
    <w:name w:val="Heading 3 Char"/>
    <w:basedOn w:val="DefaultParagraphFont"/>
    <w:link w:val="Heading3"/>
    <w:uiPriority w:val="9"/>
    <w:rsid w:val="00905841"/>
    <w:rPr>
      <w:rFonts w:ascii="Times New Roman" w:eastAsiaTheme="majorEastAsia" w:hAnsi="Times New Roman" w:cstheme="majorBidi"/>
      <w:sz w:val="24"/>
      <w:szCs w:val="24"/>
      <w:lang w:val="hr-HR"/>
    </w:rPr>
  </w:style>
  <w:style w:type="paragraph" w:styleId="Header">
    <w:name w:val="header"/>
    <w:basedOn w:val="Normal"/>
    <w:link w:val="HeaderChar"/>
    <w:uiPriority w:val="99"/>
    <w:unhideWhenUsed/>
    <w:rsid w:val="00302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B8F"/>
    <w:rPr>
      <w:lang w:val="hr-HR"/>
    </w:rPr>
  </w:style>
  <w:style w:type="paragraph" w:styleId="Footer">
    <w:name w:val="footer"/>
    <w:basedOn w:val="Normal"/>
    <w:link w:val="FooterChar"/>
    <w:uiPriority w:val="99"/>
    <w:unhideWhenUsed/>
    <w:rsid w:val="00302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B8F"/>
    <w:rPr>
      <w:lang w:val="hr-HR"/>
    </w:rPr>
  </w:style>
  <w:style w:type="paragraph" w:styleId="ListParagraph">
    <w:name w:val="List Paragraph"/>
    <w:basedOn w:val="Normal"/>
    <w:uiPriority w:val="34"/>
    <w:qFormat/>
    <w:rsid w:val="009B7574"/>
    <w:pPr>
      <w:ind w:left="720"/>
      <w:contextualSpacing/>
    </w:pPr>
  </w:style>
  <w:style w:type="character" w:customStyle="1" w:styleId="Nerijeenospominjanje1">
    <w:name w:val="Neriješeno spominjanje1"/>
    <w:basedOn w:val="DefaultParagraphFont"/>
    <w:uiPriority w:val="99"/>
    <w:semiHidden/>
    <w:unhideWhenUsed/>
    <w:rsid w:val="00332FFB"/>
    <w:rPr>
      <w:color w:val="605E5C"/>
      <w:shd w:val="clear" w:color="auto" w:fill="E1DFDD"/>
    </w:rPr>
  </w:style>
  <w:style w:type="numbering" w:customStyle="1" w:styleId="Trenutnipopis1">
    <w:name w:val="Trenutni popis1"/>
    <w:uiPriority w:val="99"/>
    <w:rsid w:val="00066E72"/>
    <w:pPr>
      <w:numPr>
        <w:numId w:val="5"/>
      </w:numPr>
    </w:pPr>
  </w:style>
  <w:style w:type="character" w:styleId="UnresolvedMention">
    <w:name w:val="Unresolved Mention"/>
    <w:basedOn w:val="DefaultParagraphFont"/>
    <w:uiPriority w:val="99"/>
    <w:semiHidden/>
    <w:unhideWhenUsed/>
    <w:rsid w:val="00C75121"/>
    <w:rPr>
      <w:color w:val="605E5C"/>
      <w:shd w:val="clear" w:color="auto" w:fill="E1DFDD"/>
    </w:rPr>
  </w:style>
  <w:style w:type="character" w:styleId="CommentReference">
    <w:name w:val="annotation reference"/>
    <w:basedOn w:val="DefaultParagraphFont"/>
    <w:uiPriority w:val="99"/>
    <w:semiHidden/>
    <w:unhideWhenUsed/>
    <w:rsid w:val="00D85532"/>
    <w:rPr>
      <w:sz w:val="16"/>
      <w:szCs w:val="16"/>
    </w:rPr>
  </w:style>
  <w:style w:type="paragraph" w:styleId="CommentText">
    <w:name w:val="annotation text"/>
    <w:basedOn w:val="Normal"/>
    <w:link w:val="CommentTextChar"/>
    <w:uiPriority w:val="99"/>
    <w:semiHidden/>
    <w:unhideWhenUsed/>
    <w:rsid w:val="00D85532"/>
    <w:pPr>
      <w:spacing w:line="240" w:lineRule="auto"/>
    </w:pPr>
    <w:rPr>
      <w:sz w:val="20"/>
      <w:szCs w:val="20"/>
    </w:rPr>
  </w:style>
  <w:style w:type="character" w:customStyle="1" w:styleId="CommentTextChar">
    <w:name w:val="Comment Text Char"/>
    <w:basedOn w:val="DefaultParagraphFont"/>
    <w:link w:val="CommentText"/>
    <w:uiPriority w:val="99"/>
    <w:semiHidden/>
    <w:rsid w:val="00D85532"/>
    <w:rPr>
      <w:sz w:val="20"/>
      <w:szCs w:val="20"/>
      <w:lang w:val="hr-HR"/>
    </w:rPr>
  </w:style>
  <w:style w:type="paragraph" w:styleId="CommentSubject">
    <w:name w:val="annotation subject"/>
    <w:basedOn w:val="CommentText"/>
    <w:next w:val="CommentText"/>
    <w:link w:val="CommentSubjectChar"/>
    <w:uiPriority w:val="99"/>
    <w:semiHidden/>
    <w:unhideWhenUsed/>
    <w:rsid w:val="00D85532"/>
    <w:rPr>
      <w:b/>
      <w:bCs/>
    </w:rPr>
  </w:style>
  <w:style w:type="character" w:customStyle="1" w:styleId="CommentSubjectChar">
    <w:name w:val="Comment Subject Char"/>
    <w:basedOn w:val="CommentTextChar"/>
    <w:link w:val="CommentSubject"/>
    <w:uiPriority w:val="99"/>
    <w:semiHidden/>
    <w:rsid w:val="00D85532"/>
    <w:rPr>
      <w:b/>
      <w:bCs/>
      <w:sz w:val="20"/>
      <w:szCs w:val="20"/>
      <w:lang w:val="hr-HR"/>
    </w:rPr>
  </w:style>
  <w:style w:type="paragraph" w:styleId="BalloonText">
    <w:name w:val="Balloon Text"/>
    <w:basedOn w:val="Normal"/>
    <w:link w:val="BalloonTextChar"/>
    <w:uiPriority w:val="99"/>
    <w:semiHidden/>
    <w:unhideWhenUsed/>
    <w:rsid w:val="00D85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532"/>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68">
      <w:bodyDiv w:val="1"/>
      <w:marLeft w:val="0"/>
      <w:marRight w:val="0"/>
      <w:marTop w:val="0"/>
      <w:marBottom w:val="0"/>
      <w:divBdr>
        <w:top w:val="none" w:sz="0" w:space="0" w:color="auto"/>
        <w:left w:val="none" w:sz="0" w:space="0" w:color="auto"/>
        <w:bottom w:val="none" w:sz="0" w:space="0" w:color="auto"/>
        <w:right w:val="none" w:sz="0" w:space="0" w:color="auto"/>
      </w:divBdr>
    </w:div>
    <w:div w:id="3881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rmator.hr/informatori/64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srh.hr/custompages/static/HRV/files/2021dok/Pravna%20shva%C4%87anja_GO/VSRH_GO_Su-IV-16-2021-5.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informator.hr/informatori/6491" TargetMode="External"/><Relationship Id="rId1" Type="http://schemas.openxmlformats.org/officeDocument/2006/relationships/hyperlink" Target="https://www.vsrh.hr/custompages/static/HRV/files/2021dok/Pravna%20shva%C4%87anja_GO/VSRH_GO_Su-IV-16-202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D42BA-7A7B-4F51-BDB5-4D550BC7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2968</TotalTime>
  <Pages>16</Pages>
  <Words>5484</Words>
  <Characters>31263</Characters>
  <Application>Microsoft Office Word</Application>
  <DocSecurity>0</DocSecurity>
  <Lines>260</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pichler</dc:creator>
  <cp:keywords/>
  <dc:description/>
  <cp:lastModifiedBy>Intellect</cp:lastModifiedBy>
  <cp:revision>29</cp:revision>
  <dcterms:created xsi:type="dcterms:W3CDTF">2023-06-04T18:05:00Z</dcterms:created>
  <dcterms:modified xsi:type="dcterms:W3CDTF">2023-06-06T20:00:00Z</dcterms:modified>
</cp:coreProperties>
</file>